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0pt;margin-top:91.200027pt;width:595.3pt;height:306.850pt;mso-position-horizontal-relative:page;mso-position-vertical-relative:page;z-index:0" coordorigin="0,1824" coordsize="11906,6137">
            <v:shape style="position:absolute;left:0;top:1824;width:11906;height:6137" type="#_x0000_t75" stroked="false">
              <v:imagedata r:id="rId5" o:title=""/>
            </v:shape>
            <v:group style="position:absolute;left:1236;top:5930;width:372;height:229" coordorigin="1236,5930" coordsize="372,229">
              <v:shape style="position:absolute;left:1236;top:5930;width:372;height:229" coordorigin="1236,5930" coordsize="372,229" path="m1608,6114l1566,5999,1287,5999,1287,5971,1483,5971,1502,5930,1608,5930,1608,6114xe" filled="true" fillcolor="#ffffff" stroked="false">
                <v:path arrowok="t"/>
                <v:fill type="solid"/>
              </v:shape>
              <v:shape style="position:absolute;left:1236;top:5930;width:372;height:229" coordorigin="1236,5930" coordsize="372,229" path="m1608,6159l1290,6159,1236,6011,1554,6011,1608,6159xe" filled="true" fillcolor="#ffffff" stroked="false">
                <v:path arrowok="t"/>
                <v:fill type="solid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pStyle w:val="Heading1"/>
        <w:spacing w:line="781" w:lineRule="exact"/>
        <w:ind w:right="4469"/>
        <w:jc w:val="center"/>
        <w:rPr>
          <w:b w:val="0"/>
          <w:bCs w:val="0"/>
        </w:rPr>
      </w:pPr>
      <w:r>
        <w:rPr/>
        <w:t>高效沟通</w:t>
      </w:r>
      <w:r>
        <w:rPr>
          <w:b w:val="0"/>
          <w:bCs w:val="0"/>
        </w:rPr>
      </w:r>
    </w:p>
    <w:p>
      <w:pPr>
        <w:spacing w:before="142"/>
        <w:ind w:left="4627" w:right="4469" w:firstLine="0"/>
        <w:jc w:val="center"/>
        <w:rPr>
          <w:rFonts w:ascii="微软雅黑" w:hAnsi="微软雅黑" w:cs="微软雅黑" w:eastAsia="微软雅黑"/>
          <w:sz w:val="64"/>
          <w:szCs w:val="64"/>
        </w:rPr>
      </w:pPr>
      <w:r>
        <w:rPr>
          <w:rFonts w:ascii="微软雅黑" w:hAnsi="微软雅黑" w:cs="微软雅黑" w:eastAsia="微软雅黑"/>
          <w:b/>
          <w:bCs/>
          <w:sz w:val="64"/>
          <w:szCs w:val="64"/>
        </w:rPr>
        <w:t>课程大纲</w:t>
      </w:r>
      <w:r>
        <w:rPr>
          <w:rFonts w:ascii="微软雅黑" w:hAnsi="微软雅黑" w:cs="微软雅黑" w:eastAsia="微软雅黑"/>
          <w:sz w:val="64"/>
          <w:szCs w:val="64"/>
        </w:rPr>
      </w: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13"/>
        <w:rPr>
          <w:rFonts w:ascii="微软雅黑" w:hAnsi="微软雅黑" w:cs="微软雅黑" w:eastAsia="微软雅黑"/>
          <w:b/>
          <w:bCs/>
          <w:sz w:val="11"/>
          <w:szCs w:val="11"/>
        </w:rPr>
      </w:pPr>
    </w:p>
    <w:p>
      <w:pPr>
        <w:spacing w:line="439" w:lineRule="exact" w:before="0"/>
        <w:ind w:left="4732" w:right="4044" w:firstLine="0"/>
        <w:jc w:val="center"/>
        <w:rPr>
          <w:rFonts w:ascii="微软雅黑" w:hAnsi="微软雅黑" w:cs="微软雅黑" w:eastAsia="微软雅黑"/>
          <w:sz w:val="32"/>
          <w:szCs w:val="32"/>
        </w:rPr>
      </w:pPr>
      <w:r>
        <w:rPr/>
        <w:pict>
          <v:group style="position:absolute;margin-left:207.809006pt;margin-top:.425144pt;width:26.1pt;height:20.6pt;mso-position-horizontal-relative:page;mso-position-vertical-relative:paragraph;z-index:1048" coordorigin="4156,9" coordsize="522,412">
            <v:shape style="position:absolute;left:4156;top:9;width:522;height:412" coordorigin="4156,9" coordsize="522,412" path="m4445,11l4396,11,4400,9,4441,9,4445,11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453,13l4386,13,4393,11,4449,11,4453,13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506,191l4324,191,4323,189,4321,187,4320,185,4319,185,4319,183,4317,179,4317,177,4316,175,4314,169,4313,165,4312,157,4312,153,4312,147,4311,143,4311,139,4312,139,4312,137,4315,133,4316,131,4317,129,4318,127,4318,123,4317,121,4315,109,4314,105,4313,99,4313,95,4312,89,4312,79,4318,55,4319,51,4321,49,4322,45,4324,43,4328,37,4330,35,4335,31,4338,29,4340,29,4343,27,4346,25,4349,23,4352,23,4355,21,4358,21,4363,19,4374,15,4380,13,4457,13,4461,15,4468,19,4479,27,4495,29,4496,31,4499,31,4501,35,4502,35,4504,37,4505,39,4507,43,4508,45,4509,47,4511,53,4513,61,4513,63,4514,71,4514,79,4513,87,4512,99,4511,113,4511,123,4511,125,4511,125,4513,129,4513,131,4515,131,4516,133,4520,153,4520,157,4517,173,4516,177,4516,179,4515,181,4513,183,4512,185,4511,187,4510,189,4508,189,4506,191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502,193l4327,193,4327,191,4505,191,4502,193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486,233l4342,233,4342,231,4338,193,4499,193,4498,195,4496,195,4495,197,4495,199,4494,199,4493,201,4491,213,4491,217,4490,219,4490,221,4490,223,4489,225,4489,227,4488,229,4487,231,4486,233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508,283l4326,283,4329,279,4333,275,4334,273,4336,271,4338,265,4341,261,4345,253,4356,251,4355,247,4354,245,4353,245,4352,243,4350,241,4349,239,4347,237,4346,237,4345,235,4343,233,4485,233,4480,239,4478,241,4477,243,4477,243,4476,245,4475,247,4475,249,4475,251,4489,253,4493,261,4496,265,4499,271,4500,273,4503,277,4505,279,4506,281,4508,283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662,337l4172,337,4176,335,4180,333,4182,331,4187,329,4195,327,4200,325,4214,321,4219,319,4280,297,4300,289,4323,285,4324,285,4324,283,4510,283,4511,285,4534,289,4595,313,4616,319,4620,321,4634,325,4643,329,4648,329,4652,331,4658,335,4660,335,4662,337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665,339l4169,339,4171,337,4664,337,4665,339xe" filled="true" fillcolor="#5b64a8" stroked="false">
              <v:path arrowok="t"/>
              <v:fill type="solid"/>
            </v:shape>
            <v:shape style="position:absolute;left:4156;top:9;width:522;height:412" coordorigin="4156,9" coordsize="522,412" path="m4678,421l4156,421,4157,385,4157,367,4157,353,4158,351,4159,349,4160,347,4161,345,4163,345,4164,343,4166,341,4167,339,4667,339,4670,343,4673,345,4675,349,4676,351,4677,353,4677,367,4677,385,4678,395,4678,421xe" filled="true" fillcolor="#5b64a8" stroked="false">
              <v:path arrowok="t"/>
              <v:fill type="solid"/>
            </v:shape>
            <w10:wrap type="none"/>
          </v:group>
        </w:pict>
      </w:r>
      <w:r>
        <w:rPr>
          <w:rFonts w:ascii="微软雅黑" w:hAnsi="微软雅黑" w:cs="微软雅黑" w:eastAsia="微软雅黑"/>
          <w:b/>
          <w:bCs/>
          <w:sz w:val="32"/>
          <w:szCs w:val="32"/>
        </w:rPr>
        <w:t>培训师：刘旭飞</w:t>
      </w:r>
      <w:r>
        <w:rPr>
          <w:rFonts w:ascii="微软雅黑" w:hAnsi="微软雅黑" w:cs="微软雅黑" w:eastAsia="微软雅黑"/>
          <w:sz w:val="32"/>
          <w:szCs w:val="32"/>
        </w:rPr>
      </w:r>
    </w:p>
    <w:p>
      <w:pPr>
        <w:spacing w:after="0" w:line="439" w:lineRule="exact"/>
        <w:jc w:val="center"/>
        <w:rPr>
          <w:rFonts w:ascii="微软雅黑" w:hAnsi="微软雅黑" w:cs="微软雅黑" w:eastAsia="微软雅黑"/>
          <w:sz w:val="32"/>
          <w:szCs w:val="32"/>
        </w:rPr>
        <w:sectPr>
          <w:type w:val="continuous"/>
          <w:pgSz w:w="11910" w:h="16840"/>
          <w:pgMar w:top="1580" w:bottom="280" w:left="0" w:right="0"/>
        </w:sect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  <w:r>
        <w:rPr/>
        <w:pict>
          <v:group style="position:absolute;margin-left:30.657pt;margin-top:46.440025pt;width:537.6pt;height:726.05pt;mso-position-horizontal-relative:page;mso-position-vertical-relative:page;z-index:-5680" coordorigin="613,929" coordsize="10752,14521">
            <v:shape style="position:absolute;left:613;top:3289;width:10752;height:12160" type="#_x0000_t75" stroked="false">
              <v:imagedata r:id="rId6" o:title=""/>
            </v:shape>
            <v:shape style="position:absolute;left:4322;top:929;width:3115;height:3715" type="#_x0000_t75" stroked="false">
              <v:imagedata r:id="rId7" o:title=""/>
            </v:shape>
            <w10:wrap type="none"/>
          </v:group>
        </w:pict>
      </w: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13"/>
        <w:rPr>
          <w:rFonts w:ascii="微软雅黑" w:hAnsi="微软雅黑" w:cs="微软雅黑" w:eastAsia="微软雅黑"/>
          <w:b/>
          <w:bCs/>
          <w:sz w:val="13"/>
          <w:szCs w:val="13"/>
        </w:rPr>
      </w:pPr>
    </w:p>
    <w:p>
      <w:pPr>
        <w:spacing w:line="355" w:lineRule="exact" w:before="0"/>
        <w:ind w:left="4028" w:right="4294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讲师简介：刘旭飞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240" w:lineRule="auto" w:before="1"/>
        <w:rPr>
          <w:rFonts w:ascii="微软雅黑" w:hAnsi="微软雅黑" w:cs="微软雅黑" w:eastAsia="微软雅黑"/>
          <w:b/>
          <w:bCs/>
          <w:sz w:val="15"/>
          <w:szCs w:val="15"/>
        </w:rPr>
      </w:pPr>
    </w:p>
    <w:p>
      <w:pPr>
        <w:spacing w:line="391" w:lineRule="auto" w:before="0"/>
        <w:ind w:left="4028" w:right="4295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心理学博士 知心社区创始人 国家注册心理咨询师 美国认知行为治疗咨询师 绘画治疗认证治疗师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391" w:lineRule="auto" w:before="58"/>
        <w:ind w:left="3668" w:right="3935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上海抗击新冠疫情心理康复专家 上海华东人才教育集团特聘讲师 近百场企业培训经验 数千小时的心理咨询及督导经验 某央企人力资源部经理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388" w:lineRule="auto" w:before="60"/>
        <w:ind w:left="2348" w:right="2615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参与众多中大型国企人力资源管理手册，员工手册的编制 服务企业：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362" w:lineRule="auto" w:before="63"/>
        <w:ind w:left="594" w:right="769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上海电气集团股份有限公司，中国东方航空股份有限公司，京东方科技集团股份有限公司， 中国工商银行股份有限公司，安永华明律师事务所等。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after="0" w:line="362" w:lineRule="auto"/>
        <w:jc w:val="center"/>
        <w:rPr>
          <w:rFonts w:ascii="微软雅黑" w:hAnsi="微软雅黑" w:cs="微软雅黑" w:eastAsia="微软雅黑"/>
          <w:sz w:val="24"/>
          <w:szCs w:val="24"/>
        </w:rPr>
        <w:sectPr>
          <w:pgSz w:w="11910" w:h="16840"/>
          <w:pgMar w:top="840" w:bottom="280" w:left="500" w:right="440"/>
        </w:sectPr>
      </w:pPr>
    </w:p>
    <w:p>
      <w:pPr>
        <w:pStyle w:val="Heading2"/>
        <w:spacing w:line="515" w:lineRule="exact"/>
        <w:ind w:right="157"/>
        <w:jc w:val="center"/>
        <w:rPr>
          <w:b w:val="0"/>
          <w:bCs w:val="0"/>
        </w:rPr>
      </w:pPr>
      <w:bookmarkStart w:name="课程简介" w:id="1"/>
      <w:bookmarkEnd w:id="1"/>
      <w:r>
        <w:rPr>
          <w:b w:val="0"/>
          <w:bCs w:val="0"/>
        </w:rPr>
      </w:r>
      <w:r>
        <w:rPr/>
        <w:t>课程简介</w:t>
      </w:r>
      <w:r>
        <w:rPr>
          <w:b w:val="0"/>
          <w:bCs w:val="0"/>
        </w:rPr>
      </w:r>
    </w:p>
    <w:p>
      <w:pPr>
        <w:spacing w:line="240" w:lineRule="auto" w:before="0"/>
        <w:rPr>
          <w:rFonts w:ascii="宋体" w:hAnsi="宋体" w:cs="宋体" w:eastAsia="宋体"/>
          <w:b/>
          <w:bCs/>
          <w:sz w:val="20"/>
          <w:szCs w:val="20"/>
        </w:rPr>
      </w:pPr>
    </w:p>
    <w:p>
      <w:pPr>
        <w:spacing w:line="240" w:lineRule="auto" w:before="7"/>
        <w:rPr>
          <w:rFonts w:ascii="宋体" w:hAnsi="宋体" w:cs="宋体" w:eastAsia="宋体"/>
          <w:b/>
          <w:bCs/>
          <w:sz w:val="22"/>
          <w:szCs w:val="22"/>
        </w:rPr>
      </w:pPr>
    </w:p>
    <w:p>
      <w:pPr>
        <w:pStyle w:val="Heading3"/>
        <w:spacing w:line="240" w:lineRule="auto" w:before="14"/>
        <w:ind w:left="659" w:right="7160"/>
        <w:jc w:val="left"/>
        <w:rPr>
          <w:b w:val="0"/>
          <w:bCs w:val="0"/>
        </w:rPr>
      </w:pPr>
      <w:r>
        <w:rPr/>
        <w:t>课程时长：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spacing w:line="372" w:lineRule="auto" w:before="0"/>
        <w:ind w:left="659" w:right="7160" w:firstLine="0"/>
        <w:jc w:val="left"/>
        <w:rPr>
          <w:rFonts w:ascii="宋体" w:hAnsi="宋体" w:cs="宋体" w:eastAsia="宋体"/>
          <w:sz w:val="28"/>
          <w:szCs w:val="28"/>
        </w:rPr>
      </w:pPr>
      <w:r>
        <w:rPr>
          <w:rFonts w:ascii="Calibri" w:hAnsi="Calibri" w:cs="Calibri" w:eastAsia="Calibri"/>
          <w:spacing w:val="-2"/>
          <w:sz w:val="28"/>
          <w:szCs w:val="28"/>
        </w:rPr>
        <w:t>6-7h</w:t>
      </w:r>
      <w:r>
        <w:rPr>
          <w:rFonts w:ascii="宋体" w:hAnsi="宋体" w:cs="宋体" w:eastAsia="宋体"/>
          <w:spacing w:val="-2"/>
          <w:sz w:val="28"/>
          <w:szCs w:val="28"/>
        </w:rPr>
        <w:t>（一天）</w:t>
      </w:r>
      <w:r>
        <w:rPr>
          <w:rFonts w:ascii="宋体" w:hAnsi="宋体" w:cs="宋体" w:eastAsia="宋体"/>
          <w:spacing w:val="-128"/>
          <w:sz w:val="28"/>
          <w:szCs w:val="28"/>
        </w:rPr>
        <w:t> </w:t>
      </w:r>
      <w:r>
        <w:rPr>
          <w:rFonts w:ascii="宋体" w:hAnsi="宋体" w:cs="宋体" w:eastAsia="宋体"/>
          <w:spacing w:val="-128"/>
          <w:sz w:val="28"/>
          <w:szCs w:val="28"/>
        </w:rPr>
      </w:r>
      <w:r>
        <w:rPr>
          <w:rFonts w:ascii="宋体" w:hAnsi="宋体" w:cs="宋体" w:eastAsia="宋体"/>
          <w:b/>
          <w:bCs/>
          <w:sz w:val="28"/>
          <w:szCs w:val="28"/>
        </w:rPr>
        <w:t>授课形式：</w:t>
      </w:r>
      <w:r>
        <w:rPr>
          <w:rFonts w:ascii="宋体" w:hAnsi="宋体" w:cs="宋体" w:eastAsia="宋体"/>
          <w:sz w:val="28"/>
          <w:szCs w:val="28"/>
        </w:rPr>
      </w:r>
    </w:p>
    <w:p>
      <w:pPr>
        <w:pStyle w:val="BodyText"/>
        <w:spacing w:line="408" w:lineRule="auto" w:before="103"/>
        <w:ind w:left="659" w:right="3221"/>
        <w:jc w:val="left"/>
        <w:rPr>
          <w:rFonts w:ascii="宋体" w:hAnsi="宋体" w:cs="宋体" w:eastAsia="宋体"/>
        </w:rPr>
      </w:pPr>
      <w:r>
        <w:rPr>
          <w:spacing w:val="-2"/>
        </w:rPr>
        <w:t>老师讲授；案例分析；小组讨论；学员互动等</w:t>
      </w:r>
      <w:r>
        <w:rPr>
          <w:spacing w:val="-111"/>
        </w:rPr>
        <w:t> </w:t>
      </w:r>
      <w:r>
        <w:rPr>
          <w:spacing w:val="-111"/>
        </w:rPr>
      </w:r>
      <w:r>
        <w:rPr>
          <w:rFonts w:ascii="宋体" w:hAnsi="宋体" w:cs="宋体" w:eastAsia="宋体"/>
          <w:b/>
          <w:bCs/>
        </w:rPr>
        <w:t>课程意义：</w:t>
      </w:r>
      <w:r>
        <w:rPr>
          <w:rFonts w:ascii="宋体" w:hAnsi="宋体" w:cs="宋体" w:eastAsia="宋体"/>
        </w:rPr>
      </w:r>
    </w:p>
    <w:p>
      <w:pPr>
        <w:pStyle w:val="BodyText"/>
        <w:spacing w:line="391" w:lineRule="auto" w:before="61"/>
        <w:ind w:left="100" w:right="250" w:firstLine="559"/>
        <w:jc w:val="both"/>
      </w:pPr>
      <w:r>
        <w:rPr/>
        <w:t>沟通是管理工作的灵魂，是提高工作效率，实现共同目标，满足各种需要的重要</w:t>
      </w:r>
      <w:r>
        <w:rPr>
          <w:w w:val="100"/>
        </w:rPr>
        <w:t> </w:t>
      </w:r>
      <w:r>
        <w:rPr>
          <w:spacing w:val="-2"/>
        </w:rPr>
        <w:t>工具。数据显示，</w:t>
      </w:r>
      <w:r>
        <w:rPr>
          <w:rFonts w:ascii="Calibri" w:hAnsi="Calibri" w:cs="Calibri" w:eastAsia="Calibri"/>
          <w:spacing w:val="-2"/>
        </w:rPr>
        <w:t>50%</w:t>
      </w:r>
      <w:r>
        <w:rPr>
          <w:spacing w:val="-2"/>
        </w:rPr>
        <w:t>的医患矛盾源自沟通不畅，</w:t>
      </w:r>
      <w:r>
        <w:rPr>
          <w:rFonts w:ascii="Calibri" w:hAnsi="Calibri" w:cs="Calibri" w:eastAsia="Calibri"/>
          <w:spacing w:val="-2"/>
        </w:rPr>
        <w:t>30%</w:t>
      </w:r>
      <w:r>
        <w:rPr>
          <w:spacing w:val="-2"/>
        </w:rPr>
        <w:t>的商业交易失败源于交易双方并</w:t>
      </w:r>
      <w:r>
        <w:rPr>
          <w:spacing w:val="-100"/>
        </w:rPr>
        <w:t> </w:t>
      </w:r>
      <w:r>
        <w:rPr>
          <w:spacing w:val="-100"/>
        </w:rPr>
      </w:r>
      <w:r>
        <w:rPr/>
        <w:t>未清晰的表达自己的想法，管理工作中</w:t>
      </w:r>
      <w:r>
        <w:rPr>
          <w:spacing w:val="35"/>
        </w:rPr>
        <w:t> </w:t>
      </w:r>
      <w:r>
        <w:rPr>
          <w:rFonts w:ascii="Calibri" w:hAnsi="Calibri" w:cs="Calibri" w:eastAsia="Calibri"/>
        </w:rPr>
        <w:t>70%</w:t>
      </w:r>
      <w:r>
        <w:rPr/>
        <w:t>的错误是由于不善于沟通造成的，成功的</w:t>
      </w:r>
    </w:p>
    <w:p>
      <w:pPr>
        <w:pStyle w:val="BodyText"/>
        <w:spacing w:line="372" w:lineRule="auto" w:before="6"/>
        <w:ind w:left="659" w:right="0" w:hanging="560"/>
        <w:jc w:val="left"/>
      </w:pPr>
      <w:r>
        <w:rPr/>
        <w:t>公司管理人士通常会将</w:t>
      </w:r>
      <w:r>
        <w:rPr>
          <w:spacing w:val="-73"/>
        </w:rPr>
        <w:t> </w:t>
      </w:r>
      <w:r>
        <w:rPr>
          <w:rFonts w:ascii="Calibri" w:hAnsi="Calibri" w:cs="Calibri" w:eastAsia="Calibri"/>
        </w:rPr>
        <w:t>90%</w:t>
      </w:r>
      <w:r>
        <w:rPr/>
        <w:t>以上的工作时间用于部属之间的良性沟通之中。</w:t>
      </w:r>
      <w:r>
        <w:rPr>
          <w:w w:val="100"/>
        </w:rPr>
        <w:t> </w:t>
      </w:r>
      <w:r>
        <w:rPr/>
        <w:t>聪明的管理者或者职场人都知道，沟通是企业最大的沉默成本。良好的沟通让员</w:t>
      </w:r>
    </w:p>
    <w:p>
      <w:pPr>
        <w:pStyle w:val="BodyText"/>
        <w:spacing w:line="408" w:lineRule="auto" w:before="103"/>
        <w:ind w:left="100" w:right="0"/>
        <w:jc w:val="left"/>
      </w:pPr>
      <w:r>
        <w:rPr>
          <w:spacing w:val="-3"/>
        </w:rPr>
        <w:t>工感觉到企业对自己的尊重和信任，因而产生极大的职责感、认同感和归属感，此外，</w:t>
      </w:r>
      <w:r>
        <w:rPr>
          <w:spacing w:val="-83"/>
        </w:rPr>
        <w:t> </w:t>
      </w:r>
      <w:r>
        <w:rPr>
          <w:spacing w:val="-83"/>
        </w:rPr>
      </w:r>
      <w:r>
        <w:rPr/>
        <w:t>良好沟通还能减少冲突，化解矛盾、澄清疑虑、消除误会，增强团队的内部凝聚。</w:t>
      </w:r>
    </w:p>
    <w:p>
      <w:pPr>
        <w:pStyle w:val="BodyText"/>
        <w:spacing w:line="408" w:lineRule="auto" w:before="61"/>
        <w:ind w:left="659" w:right="0"/>
        <w:jc w:val="left"/>
      </w:pPr>
      <w:r>
        <w:rPr>
          <w:rFonts w:ascii="宋体" w:hAnsi="宋体" w:cs="宋体" w:eastAsia="宋体"/>
          <w:b/>
          <w:bCs/>
        </w:rPr>
        <w:t>课程收获：</w:t>
      </w:r>
      <w:r>
        <w:rPr>
          <w:rFonts w:ascii="宋体" w:hAnsi="宋体" w:cs="宋体" w:eastAsia="宋体"/>
          <w:b/>
          <w:bCs/>
          <w:w w:val="99"/>
        </w:rPr>
        <w:t> </w:t>
      </w:r>
      <w:r>
        <w:rPr>
          <w:spacing w:val="-3"/>
        </w:rPr>
        <w:t>通过本次课程，您将学会透过清晰的指导与决策节省时间与精力，减少重复劳动，</w:t>
      </w:r>
    </w:p>
    <w:p>
      <w:pPr>
        <w:pStyle w:val="BodyText"/>
        <w:spacing w:line="408" w:lineRule="auto" w:before="61"/>
        <w:ind w:left="100" w:right="0"/>
        <w:jc w:val="left"/>
      </w:pPr>
      <w:r>
        <w:rPr/>
        <w:t>提高工作效率。提升他人和自己对工作和说的满意度，学会用非强制性策略影响或激</w:t>
      </w:r>
      <w:r>
        <w:rPr>
          <w:spacing w:val="-44"/>
        </w:rPr>
        <w:t> </w:t>
      </w:r>
      <w:r>
        <w:rPr>
          <w:spacing w:val="-44"/>
        </w:rPr>
      </w:r>
      <w:r>
        <w:rPr/>
        <w:t>励他人。</w:t>
      </w:r>
    </w:p>
    <w:p>
      <w:pPr>
        <w:pStyle w:val="BodyText"/>
        <w:spacing w:line="408" w:lineRule="auto" w:before="61"/>
        <w:ind w:left="100" w:right="257" w:firstLine="559"/>
        <w:jc w:val="both"/>
      </w:pPr>
      <w:r>
        <w:rPr/>
        <w:t>通过本次课程，愿您在工作或生活中：下情能为上知，上意能迅速准确地下达，</w:t>
      </w:r>
      <w:r>
        <w:rPr>
          <w:w w:val="100"/>
        </w:rPr>
        <w:t> </w:t>
      </w:r>
      <w:r>
        <w:rPr/>
        <w:t>人与人之间互通信息，互知甘苦，同心共感，携手向前。</w:t>
      </w:r>
    </w:p>
    <w:p>
      <w:pPr>
        <w:spacing w:after="0" w:line="408" w:lineRule="auto"/>
        <w:jc w:val="both"/>
        <w:sectPr>
          <w:pgSz w:w="11910" w:h="16840"/>
          <w:pgMar w:top="780" w:bottom="280" w:left="620" w:right="460"/>
        </w:sectPr>
      </w:pPr>
    </w:p>
    <w:p>
      <w:pPr>
        <w:pStyle w:val="Heading2"/>
        <w:spacing w:line="515" w:lineRule="exact"/>
        <w:ind w:left="2807" w:right="3124"/>
        <w:jc w:val="center"/>
        <w:rPr>
          <w:b w:val="0"/>
          <w:bCs w:val="0"/>
        </w:rPr>
      </w:pPr>
      <w:bookmarkStart w:name="课程大纲" w:id="2"/>
      <w:bookmarkEnd w:id="2"/>
      <w:r>
        <w:rPr>
          <w:b w:val="0"/>
          <w:bCs w:val="0"/>
        </w:rPr>
      </w:r>
      <w:r>
        <w:rPr/>
        <w:t>课程大纲</w:t>
      </w:r>
      <w:r>
        <w:rPr>
          <w:b w:val="0"/>
          <w:bCs w:val="0"/>
        </w:rPr>
      </w:r>
    </w:p>
    <w:p>
      <w:pPr>
        <w:spacing w:line="240" w:lineRule="auto" w:before="8"/>
        <w:rPr>
          <w:rFonts w:ascii="宋体" w:hAnsi="宋体" w:cs="宋体" w:eastAsia="宋体"/>
          <w:b/>
          <w:bCs/>
          <w:sz w:val="43"/>
          <w:szCs w:val="43"/>
        </w:rPr>
      </w:pPr>
    </w:p>
    <w:p>
      <w:pPr>
        <w:pStyle w:val="Heading3"/>
        <w:spacing w:line="240" w:lineRule="auto"/>
        <w:ind w:left="2807" w:right="3124"/>
        <w:jc w:val="center"/>
        <w:rPr>
          <w:b w:val="0"/>
          <w:bCs w:val="0"/>
        </w:rPr>
      </w:pPr>
      <w:r>
        <w:rPr/>
        <w:t>一、第一部分（高效沟通入门）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right="2913"/>
        <w:jc w:val="center"/>
      </w:pPr>
      <w:r>
        <w:rPr>
          <w:rFonts w:ascii="Calibri" w:hAnsi="Calibri" w:cs="Calibri" w:eastAsia="Calibri"/>
        </w:rPr>
        <w:t>1</w:t>
      </w:r>
      <w:r>
        <w:rPr/>
        <w:t>、沟通的意义</w:t>
      </w:r>
    </w:p>
    <w:p>
      <w:pPr>
        <w:pStyle w:val="BodyText"/>
        <w:spacing w:line="240" w:lineRule="auto"/>
        <w:ind w:right="2913"/>
        <w:jc w:val="center"/>
      </w:pPr>
      <w:r>
        <w:rPr>
          <w:rFonts w:ascii="Calibri" w:hAnsi="Calibri" w:cs="Calibri" w:eastAsia="Calibri"/>
        </w:rPr>
        <w:t>2</w:t>
      </w:r>
      <w:r>
        <w:rPr/>
        <w:t>、沟通的历程</w:t>
      </w:r>
    </w:p>
    <w:p>
      <w:pPr>
        <w:pStyle w:val="BodyText"/>
        <w:spacing w:line="240" w:lineRule="auto"/>
        <w:ind w:right="2913"/>
        <w:jc w:val="center"/>
      </w:pPr>
      <w:r>
        <w:rPr>
          <w:rFonts w:ascii="Calibri" w:hAnsi="Calibri" w:cs="Calibri" w:eastAsia="Calibri"/>
        </w:rPr>
        <w:t>3</w:t>
      </w:r>
      <w:r>
        <w:rPr/>
        <w:t>、沟通的原则与迷思</w:t>
      </w:r>
    </w:p>
    <w:p>
      <w:pPr>
        <w:pStyle w:val="BodyText"/>
        <w:spacing w:line="240" w:lineRule="auto"/>
        <w:ind w:right="2915"/>
        <w:jc w:val="center"/>
      </w:pPr>
      <w:r>
        <w:rPr>
          <w:rFonts w:ascii="Calibri" w:hAnsi="Calibri" w:cs="Calibri" w:eastAsia="Calibri"/>
        </w:rPr>
        <w:t>4</w:t>
      </w:r>
      <w:r>
        <w:rPr/>
        <w:t>、人际沟通的本质</w:t>
      </w:r>
    </w:p>
    <w:p>
      <w:pPr>
        <w:pStyle w:val="BodyText"/>
        <w:spacing w:line="240" w:lineRule="auto"/>
        <w:ind w:right="2915"/>
        <w:jc w:val="center"/>
      </w:pPr>
      <w:r>
        <w:rPr>
          <w:rFonts w:ascii="Calibri" w:hAnsi="Calibri" w:cs="Calibri" w:eastAsia="Calibri"/>
        </w:rPr>
        <w:t>5</w:t>
      </w:r>
      <w:r>
        <w:rPr/>
        <w:t>、如何成为沟通高手</w:t>
      </w:r>
    </w:p>
    <w:p>
      <w:pPr>
        <w:spacing w:line="240" w:lineRule="auto" w:before="0"/>
        <w:rPr>
          <w:rFonts w:ascii="宋体" w:hAnsi="宋体" w:cs="宋体" w:eastAsia="宋体"/>
          <w:sz w:val="30"/>
          <w:szCs w:val="30"/>
        </w:rPr>
      </w:pPr>
    </w:p>
    <w:p>
      <w:pPr>
        <w:spacing w:line="240" w:lineRule="auto" w:before="8"/>
        <w:rPr>
          <w:rFonts w:ascii="宋体" w:hAnsi="宋体" w:cs="宋体" w:eastAsia="宋体"/>
          <w:sz w:val="34"/>
          <w:szCs w:val="34"/>
        </w:rPr>
      </w:pPr>
    </w:p>
    <w:p>
      <w:pPr>
        <w:pStyle w:val="BodyText"/>
        <w:spacing w:line="408" w:lineRule="auto" w:before="0"/>
        <w:ind w:left="108" w:right="114"/>
        <w:jc w:val="left"/>
      </w:pPr>
      <w:r>
        <w:rPr>
          <w:spacing w:val="-5"/>
        </w:rPr>
        <w:t>简介：在开始部分，我们将通过精彩的游戏与互动，引导学员了解沟通的概念，了解</w:t>
      </w:r>
      <w:r>
        <w:rPr>
          <w:spacing w:val="-80"/>
        </w:rPr>
        <w:t> </w:t>
      </w:r>
      <w:r>
        <w:rPr>
          <w:spacing w:val="-80"/>
        </w:rPr>
      </w:r>
      <w:r>
        <w:rPr>
          <w:spacing w:val="-2"/>
        </w:rPr>
        <w:t>沟通在人际关系中的重要意义，知道沟通理论的发展历程，掌握沟通的原则与陷阱，</w:t>
      </w:r>
      <w:r>
        <w:rPr>
          <w:spacing w:val="-89"/>
        </w:rPr>
        <w:t> </w:t>
      </w:r>
      <w:r>
        <w:rPr>
          <w:spacing w:val="-89"/>
        </w:rPr>
      </w:r>
      <w:r>
        <w:rPr/>
        <w:t>让学员享受沟通，乐于沟通。</w:t>
      </w:r>
    </w:p>
    <w:p>
      <w:pPr>
        <w:spacing w:line="240" w:lineRule="auto" w:before="0"/>
        <w:rPr>
          <w:rFonts w:ascii="宋体" w:hAnsi="宋体" w:cs="宋体" w:eastAsia="宋体"/>
          <w:sz w:val="28"/>
          <w:szCs w:val="28"/>
        </w:rPr>
      </w:pPr>
    </w:p>
    <w:p>
      <w:pPr>
        <w:spacing w:line="240" w:lineRule="auto" w:before="5"/>
        <w:rPr>
          <w:rFonts w:ascii="宋体" w:hAnsi="宋体" w:cs="宋体" w:eastAsia="宋体"/>
          <w:sz w:val="24"/>
          <w:szCs w:val="24"/>
        </w:rPr>
      </w:pPr>
    </w:p>
    <w:p>
      <w:pPr>
        <w:pStyle w:val="Heading3"/>
        <w:spacing w:line="240" w:lineRule="auto"/>
        <w:ind w:left="2807" w:right="3124"/>
        <w:jc w:val="center"/>
        <w:rPr>
          <w:b w:val="0"/>
          <w:bCs w:val="0"/>
        </w:rPr>
      </w:pPr>
      <w:r>
        <w:rPr/>
        <w:t>二、第二部分（看入人里）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right="2913"/>
        <w:jc w:val="center"/>
      </w:pPr>
      <w:r>
        <w:rPr>
          <w:rFonts w:ascii="Calibri" w:hAnsi="Calibri" w:cs="Calibri" w:eastAsia="Calibri"/>
        </w:rPr>
        <w:t>1</w:t>
      </w:r>
      <w:r>
        <w:rPr/>
        <w:t>、认同</w:t>
      </w:r>
      <w:r>
        <w:rPr>
          <w:rFonts w:ascii="Calibri" w:hAnsi="Calibri" w:cs="Calibri" w:eastAsia="Calibri"/>
        </w:rPr>
        <w:t>-</w:t>
      </w:r>
      <w:r>
        <w:rPr/>
        <w:t>自我的塑造与展现</w:t>
      </w:r>
    </w:p>
    <w:p>
      <w:pPr>
        <w:pStyle w:val="BodyText"/>
        <w:spacing w:line="240" w:lineRule="auto"/>
        <w:ind w:right="3122"/>
        <w:jc w:val="center"/>
      </w:pPr>
      <w:r>
        <w:rPr>
          <w:rFonts w:ascii="Calibri" w:hAnsi="Calibri" w:cs="Calibri" w:eastAsia="Calibri"/>
        </w:rPr>
        <w:t>1.1</w:t>
      </w:r>
      <w:r>
        <w:rPr>
          <w:rFonts w:ascii="Calibri" w:hAnsi="Calibri" w:cs="Calibri" w:eastAsia="Calibri"/>
          <w:spacing w:val="3"/>
        </w:rPr>
        <w:t> </w:t>
      </w:r>
      <w:r>
        <w:rPr/>
        <w:t>沟通和自我概念</w:t>
      </w:r>
    </w:p>
    <w:p>
      <w:pPr>
        <w:pStyle w:val="BodyText"/>
        <w:spacing w:line="240" w:lineRule="auto"/>
        <w:ind w:right="3124"/>
        <w:jc w:val="center"/>
      </w:pPr>
      <w:r>
        <w:rPr>
          <w:rFonts w:ascii="Calibri" w:hAnsi="Calibri" w:cs="Calibri" w:eastAsia="Calibri"/>
        </w:rPr>
        <w:t>1.2</w:t>
      </w:r>
      <w:r>
        <w:rPr>
          <w:rFonts w:ascii="Calibri" w:hAnsi="Calibri" w:cs="Calibri" w:eastAsia="Calibri"/>
          <w:spacing w:val="1"/>
        </w:rPr>
        <w:t> </w:t>
      </w:r>
      <w:r>
        <w:rPr/>
        <w:t>沟通和自我认同管理</w:t>
      </w:r>
    </w:p>
    <w:p>
      <w:pPr>
        <w:pStyle w:val="BodyText"/>
        <w:spacing w:line="240" w:lineRule="auto"/>
        <w:ind w:right="2913"/>
        <w:jc w:val="center"/>
      </w:pPr>
      <w:r>
        <w:rPr>
          <w:rFonts w:ascii="Calibri" w:hAnsi="Calibri" w:cs="Calibri" w:eastAsia="Calibri"/>
        </w:rPr>
        <w:t>2</w:t>
      </w:r>
      <w:r>
        <w:rPr/>
        <w:t>、知觉</w:t>
      </w:r>
      <w:r>
        <w:rPr>
          <w:rFonts w:ascii="Calibri" w:hAnsi="Calibri" w:cs="Calibri" w:eastAsia="Calibri"/>
        </w:rPr>
        <w:t>-</w:t>
      </w:r>
      <w:r>
        <w:rPr/>
        <w:t>世界所是</w:t>
      </w:r>
      <w:r>
        <w:rPr>
          <w:spacing w:val="-75"/>
        </w:rPr>
        <w:t> </w:t>
      </w:r>
      <w:r>
        <w:rPr>
          <w:rFonts w:ascii="Calibri" w:hAnsi="Calibri" w:cs="Calibri" w:eastAsia="Calibri"/>
        </w:rPr>
        <w:t>VS </w:t>
      </w:r>
      <w:r>
        <w:rPr/>
        <w:t>我们所知</w:t>
      </w:r>
    </w:p>
    <w:p>
      <w:pPr>
        <w:pStyle w:val="BodyText"/>
        <w:spacing w:line="240" w:lineRule="auto"/>
        <w:ind w:right="3122"/>
        <w:jc w:val="center"/>
      </w:pPr>
      <w:r>
        <w:rPr>
          <w:rFonts w:ascii="Calibri" w:hAnsi="Calibri" w:cs="Calibri" w:eastAsia="Calibri"/>
        </w:rPr>
        <w:t>2.1</w:t>
      </w:r>
      <w:r>
        <w:rPr>
          <w:rFonts w:ascii="Calibri" w:hAnsi="Calibri" w:cs="Calibri" w:eastAsia="Calibri"/>
          <w:spacing w:val="1"/>
        </w:rPr>
        <w:t> </w:t>
      </w:r>
      <w:r>
        <w:rPr/>
        <w:t>知觉的概念与影响因素</w:t>
      </w:r>
    </w:p>
    <w:p>
      <w:pPr>
        <w:pStyle w:val="BodyText"/>
        <w:spacing w:line="240" w:lineRule="auto"/>
        <w:ind w:right="3122"/>
        <w:jc w:val="center"/>
      </w:pPr>
      <w:r>
        <w:rPr>
          <w:rFonts w:ascii="Calibri" w:hAnsi="Calibri" w:cs="Calibri" w:eastAsia="Calibri"/>
        </w:rPr>
        <w:t>2.2</w:t>
      </w:r>
      <w:r>
        <w:rPr>
          <w:rFonts w:ascii="Calibri" w:hAnsi="Calibri" w:cs="Calibri" w:eastAsia="Calibri"/>
          <w:spacing w:val="3"/>
        </w:rPr>
        <w:t> </w:t>
      </w:r>
      <w:r>
        <w:rPr/>
        <w:t>知觉的倾向</w:t>
      </w:r>
    </w:p>
    <w:p>
      <w:pPr>
        <w:pStyle w:val="BodyText"/>
        <w:spacing w:line="240" w:lineRule="auto"/>
        <w:ind w:right="3124"/>
        <w:jc w:val="center"/>
      </w:pPr>
      <w:r>
        <w:rPr>
          <w:rFonts w:ascii="Calibri" w:hAnsi="Calibri" w:cs="Calibri" w:eastAsia="Calibri"/>
        </w:rPr>
        <w:t>2.3</w:t>
      </w:r>
      <w:r>
        <w:rPr>
          <w:rFonts w:ascii="Calibri" w:hAnsi="Calibri" w:cs="Calibri" w:eastAsia="Calibri"/>
          <w:spacing w:val="3"/>
        </w:rPr>
        <w:t> </w:t>
      </w:r>
      <w:r>
        <w:rPr/>
        <w:t>同理心与沟通</w:t>
      </w:r>
    </w:p>
    <w:p>
      <w:pPr>
        <w:pStyle w:val="BodyText"/>
        <w:spacing w:line="240" w:lineRule="auto"/>
        <w:ind w:right="2913"/>
        <w:jc w:val="center"/>
      </w:pPr>
      <w:r>
        <w:rPr>
          <w:rFonts w:ascii="Calibri" w:hAnsi="Calibri" w:cs="Calibri" w:eastAsia="Calibri"/>
        </w:rPr>
        <w:t>3</w:t>
      </w:r>
      <w:r>
        <w:rPr/>
        <w:t>、情绪</w:t>
      </w:r>
      <w:r>
        <w:rPr>
          <w:rFonts w:ascii="Calibri" w:hAnsi="Calibri" w:cs="Calibri" w:eastAsia="Calibri"/>
        </w:rPr>
        <w:t>-</w:t>
      </w:r>
      <w:r>
        <w:rPr/>
        <w:t>适时适地传达感觉</w:t>
      </w:r>
    </w:p>
    <w:p>
      <w:pPr>
        <w:pStyle w:val="BodyText"/>
        <w:spacing w:line="240" w:lineRule="auto"/>
        <w:ind w:right="3124"/>
        <w:jc w:val="center"/>
      </w:pPr>
      <w:r>
        <w:rPr>
          <w:rFonts w:ascii="Calibri" w:hAnsi="Calibri" w:cs="Calibri" w:eastAsia="Calibri"/>
        </w:rPr>
        <w:t>3.1</w:t>
      </w:r>
      <w:r>
        <w:rPr>
          <w:rFonts w:ascii="Calibri" w:hAnsi="Calibri" w:cs="Calibri" w:eastAsia="Calibri"/>
          <w:spacing w:val="-3"/>
        </w:rPr>
        <w:t> </w:t>
      </w:r>
      <w:r>
        <w:rPr/>
        <w:t>情绪的概念与影响情绪表达的因素</w:t>
      </w:r>
    </w:p>
    <w:p>
      <w:pPr>
        <w:pStyle w:val="BodyText"/>
        <w:spacing w:line="240" w:lineRule="auto"/>
        <w:ind w:right="3122"/>
        <w:jc w:val="center"/>
      </w:pPr>
      <w:r>
        <w:rPr>
          <w:rFonts w:ascii="Calibri" w:hAnsi="Calibri" w:cs="Calibri" w:eastAsia="Calibri"/>
        </w:rPr>
        <w:t>3.2</w:t>
      </w:r>
      <w:r>
        <w:rPr>
          <w:rFonts w:ascii="Calibri" w:hAnsi="Calibri" w:cs="Calibri" w:eastAsia="Calibri"/>
          <w:spacing w:val="3"/>
        </w:rPr>
        <w:t> </w:t>
      </w:r>
      <w:r>
        <w:rPr/>
        <w:t>情绪表达的原则</w:t>
      </w:r>
    </w:p>
    <w:p>
      <w:pPr>
        <w:pStyle w:val="BodyText"/>
        <w:spacing w:line="240" w:lineRule="auto"/>
        <w:ind w:right="3122"/>
        <w:jc w:val="center"/>
      </w:pPr>
      <w:r>
        <w:rPr>
          <w:rFonts w:ascii="Calibri" w:hAnsi="Calibri" w:cs="Calibri" w:eastAsia="Calibri"/>
        </w:rPr>
        <w:t>3.3</w:t>
      </w:r>
      <w:r>
        <w:rPr>
          <w:rFonts w:ascii="Calibri" w:hAnsi="Calibri" w:cs="Calibri" w:eastAsia="Calibri"/>
          <w:spacing w:val="3"/>
        </w:rPr>
        <w:t> </w:t>
      </w:r>
      <w:r>
        <w:rPr/>
        <w:t>管理困扰的情绪</w:t>
      </w:r>
    </w:p>
    <w:p>
      <w:pPr>
        <w:spacing w:after="0" w:line="240" w:lineRule="auto"/>
        <w:jc w:val="center"/>
        <w:sectPr>
          <w:pgSz w:w="11910" w:h="16840"/>
          <w:pgMar w:top="780" w:bottom="280" w:left="820" w:right="500"/>
        </w:sectPr>
      </w:pPr>
    </w:p>
    <w:p>
      <w:pPr>
        <w:pStyle w:val="BodyText"/>
        <w:spacing w:line="408" w:lineRule="auto" w:before="0"/>
        <w:ind w:left="108" w:right="0"/>
        <w:jc w:val="left"/>
      </w:pPr>
      <w:r>
        <w:rPr>
          <w:spacing w:val="-9"/>
        </w:rPr>
        <w:t>简介：在本部分，将引导学员探究自我的部分，从自我概念的角度出发，知道我是谁，</w:t>
      </w:r>
      <w:r>
        <w:rPr>
          <w:spacing w:val="-65"/>
        </w:rPr>
        <w:t> </w:t>
      </w:r>
      <w:r>
        <w:rPr>
          <w:spacing w:val="-65"/>
        </w:rPr>
      </w:r>
      <w:r>
        <w:rPr>
          <w:spacing w:val="-5"/>
        </w:rPr>
        <w:t>我什么样的人，自我的概念与沟通之间的关系；引导学员理解客观世界和自我知觉的</w:t>
      </w:r>
      <w:r>
        <w:rPr>
          <w:spacing w:val="-80"/>
        </w:rPr>
        <w:t> </w:t>
      </w:r>
      <w:r>
        <w:rPr>
          <w:spacing w:val="-80"/>
        </w:rPr>
      </w:r>
      <w:r>
        <w:rPr>
          <w:spacing w:val="-5"/>
        </w:rPr>
        <w:t>差别，明白外界信息与个人理解之间的沟壑；知道情绪对个体心理、行为的影响，更</w:t>
      </w:r>
      <w:r>
        <w:rPr>
          <w:spacing w:val="-80"/>
        </w:rPr>
        <w:t> </w:t>
      </w:r>
      <w:r>
        <w:rPr>
          <w:spacing w:val="-80"/>
        </w:rPr>
      </w:r>
      <w:r>
        <w:rPr/>
        <w:t>好的掌控情绪，利用情绪，表达情绪，建立完善的自我表达体系。</w:t>
      </w:r>
    </w:p>
    <w:p>
      <w:pPr>
        <w:spacing w:line="240" w:lineRule="auto" w:before="0"/>
        <w:rPr>
          <w:rFonts w:ascii="宋体" w:hAnsi="宋体" w:cs="宋体" w:eastAsia="宋体"/>
          <w:sz w:val="28"/>
          <w:szCs w:val="28"/>
        </w:rPr>
      </w:pPr>
    </w:p>
    <w:p>
      <w:pPr>
        <w:spacing w:line="240" w:lineRule="auto" w:before="5"/>
        <w:rPr>
          <w:rFonts w:ascii="宋体" w:hAnsi="宋体" w:cs="宋体" w:eastAsia="宋体"/>
          <w:sz w:val="24"/>
          <w:szCs w:val="24"/>
        </w:rPr>
      </w:pPr>
    </w:p>
    <w:p>
      <w:pPr>
        <w:pStyle w:val="Heading3"/>
        <w:spacing w:line="240" w:lineRule="auto"/>
        <w:ind w:right="3023"/>
        <w:jc w:val="center"/>
        <w:rPr>
          <w:b w:val="0"/>
          <w:bCs w:val="0"/>
        </w:rPr>
      </w:pPr>
      <w:r>
        <w:rPr/>
        <w:t>三、第三部分（看出人外）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left="2668" w:right="2814"/>
        <w:jc w:val="center"/>
      </w:pPr>
      <w:r>
        <w:rPr>
          <w:rFonts w:ascii="Calibri" w:hAnsi="Calibri" w:cs="Calibri" w:eastAsia="Calibri"/>
        </w:rPr>
        <w:t>1</w:t>
      </w:r>
      <w:r>
        <w:rPr/>
        <w:t>、语言：人际关系的障碍和桥梁</w:t>
      </w:r>
    </w:p>
    <w:p>
      <w:pPr>
        <w:pStyle w:val="BodyText"/>
        <w:spacing w:line="240" w:lineRule="auto"/>
        <w:ind w:left="2668" w:right="2811"/>
        <w:jc w:val="center"/>
      </w:pPr>
      <w:r>
        <w:rPr>
          <w:rFonts w:ascii="Calibri" w:hAnsi="Calibri" w:cs="Calibri" w:eastAsia="Calibri"/>
        </w:rPr>
        <w:t>1.1</w:t>
      </w:r>
      <w:r>
        <w:rPr>
          <w:rFonts w:ascii="Calibri" w:hAnsi="Calibri" w:cs="Calibri" w:eastAsia="Calibri"/>
          <w:spacing w:val="1"/>
        </w:rPr>
        <w:t> </w:t>
      </w:r>
      <w:r>
        <w:rPr/>
        <w:t>语言的符合和影响</w:t>
      </w:r>
    </w:p>
    <w:p>
      <w:pPr>
        <w:pStyle w:val="BodyText"/>
        <w:spacing w:line="240" w:lineRule="auto"/>
        <w:ind w:left="2668" w:right="2811"/>
        <w:jc w:val="center"/>
      </w:pPr>
      <w:r>
        <w:rPr>
          <w:rFonts w:ascii="Calibri" w:hAnsi="Calibri" w:cs="Calibri" w:eastAsia="Calibri"/>
        </w:rPr>
        <w:t>1.2</w:t>
      </w:r>
      <w:r>
        <w:rPr>
          <w:rFonts w:ascii="Calibri" w:hAnsi="Calibri" w:cs="Calibri" w:eastAsia="Calibri"/>
          <w:spacing w:val="3"/>
        </w:rPr>
        <w:t> </w:t>
      </w:r>
      <w:r>
        <w:rPr/>
        <w:t>性别和语言</w:t>
      </w:r>
    </w:p>
    <w:p>
      <w:pPr>
        <w:pStyle w:val="BodyText"/>
        <w:spacing w:line="240" w:lineRule="auto"/>
        <w:ind w:left="2668" w:right="2811"/>
        <w:jc w:val="center"/>
      </w:pPr>
      <w:r>
        <w:rPr>
          <w:rFonts w:ascii="Calibri" w:hAnsi="Calibri" w:cs="Calibri" w:eastAsia="Calibri"/>
        </w:rPr>
        <w:t>1.3</w:t>
      </w:r>
      <w:r>
        <w:rPr>
          <w:rFonts w:ascii="Calibri" w:hAnsi="Calibri" w:cs="Calibri" w:eastAsia="Calibri"/>
          <w:spacing w:val="3"/>
        </w:rPr>
        <w:t> </w:t>
      </w:r>
      <w:r>
        <w:rPr/>
        <w:t>文化和语言</w:t>
      </w:r>
    </w:p>
    <w:p>
      <w:pPr>
        <w:pStyle w:val="BodyText"/>
        <w:spacing w:line="240" w:lineRule="auto"/>
        <w:ind w:left="2668" w:right="3023"/>
        <w:jc w:val="center"/>
      </w:pPr>
      <w:r>
        <w:rPr>
          <w:rFonts w:ascii="Calibri" w:hAnsi="Calibri" w:cs="Calibri" w:eastAsia="Calibri"/>
        </w:rPr>
        <w:t>1.4</w:t>
      </w:r>
      <w:r>
        <w:rPr>
          <w:rFonts w:ascii="Calibri" w:hAnsi="Calibri" w:cs="Calibri" w:eastAsia="Calibri"/>
          <w:spacing w:val="-3"/>
        </w:rPr>
        <w:t> </w:t>
      </w:r>
      <w:r>
        <w:rPr/>
        <w:t>非口语沟通的特征、类型、影响因素</w:t>
      </w:r>
    </w:p>
    <w:p>
      <w:pPr>
        <w:pStyle w:val="BodyText"/>
        <w:spacing w:line="240" w:lineRule="auto"/>
        <w:ind w:left="2668" w:right="2814"/>
        <w:jc w:val="center"/>
      </w:pPr>
      <w:r>
        <w:rPr>
          <w:rFonts w:ascii="Calibri" w:hAnsi="Calibri" w:cs="Calibri" w:eastAsia="Calibri"/>
        </w:rPr>
        <w:t>2</w:t>
      </w:r>
      <w:r>
        <w:rPr/>
        <w:t>、倾听：不只是听见</w:t>
      </w:r>
    </w:p>
    <w:p>
      <w:pPr>
        <w:pStyle w:val="BodyText"/>
        <w:spacing w:line="240" w:lineRule="auto"/>
        <w:ind w:left="2668" w:right="3023"/>
        <w:jc w:val="center"/>
      </w:pPr>
      <w:r>
        <w:rPr>
          <w:rFonts w:ascii="Calibri" w:hAnsi="Calibri" w:cs="Calibri" w:eastAsia="Calibri"/>
        </w:rPr>
        <w:t>2.1</w:t>
      </w:r>
      <w:r>
        <w:rPr>
          <w:rFonts w:ascii="Calibri" w:hAnsi="Calibri" w:cs="Calibri" w:eastAsia="Calibri"/>
          <w:spacing w:val="1"/>
        </w:rPr>
        <w:t> </w:t>
      </w:r>
      <w:r>
        <w:rPr/>
        <w:t>倾听的定义和挑战</w:t>
      </w:r>
    </w:p>
    <w:p>
      <w:pPr>
        <w:pStyle w:val="BodyText"/>
        <w:spacing w:line="240" w:lineRule="auto"/>
        <w:ind w:left="108" w:right="0" w:firstLine="4113"/>
        <w:jc w:val="left"/>
      </w:pPr>
      <w:r>
        <w:rPr>
          <w:rFonts w:ascii="Calibri" w:hAnsi="Calibri" w:cs="Calibri" w:eastAsia="Calibri"/>
        </w:rPr>
        <w:t>2.2</w:t>
      </w:r>
      <w:r>
        <w:rPr>
          <w:rFonts w:ascii="Calibri" w:hAnsi="Calibri" w:cs="Calibri" w:eastAsia="Calibri"/>
          <w:spacing w:val="3"/>
        </w:rPr>
        <w:t> </w:t>
      </w:r>
      <w:r>
        <w:rPr/>
        <w:t>倾听的反应</w:t>
      </w:r>
    </w:p>
    <w:p>
      <w:pPr>
        <w:spacing w:line="240" w:lineRule="auto" w:before="0"/>
        <w:rPr>
          <w:rFonts w:ascii="宋体" w:hAnsi="宋体" w:cs="宋体" w:eastAsia="宋体"/>
          <w:sz w:val="30"/>
          <w:szCs w:val="30"/>
        </w:rPr>
      </w:pPr>
    </w:p>
    <w:p>
      <w:pPr>
        <w:spacing w:line="240" w:lineRule="auto" w:before="8"/>
        <w:rPr>
          <w:rFonts w:ascii="宋体" w:hAnsi="宋体" w:cs="宋体" w:eastAsia="宋体"/>
          <w:sz w:val="34"/>
          <w:szCs w:val="34"/>
        </w:rPr>
      </w:pPr>
    </w:p>
    <w:p>
      <w:pPr>
        <w:pStyle w:val="BodyText"/>
        <w:spacing w:line="408" w:lineRule="auto" w:before="0"/>
        <w:ind w:left="108" w:right="115"/>
        <w:jc w:val="both"/>
      </w:pPr>
      <w:r>
        <w:rPr>
          <w:spacing w:val="-8"/>
        </w:rPr>
        <w:t>简介：听与说是沟通最基本的组成元素，语言和非语言信息是沟通的桥梁。在本部分，</w:t>
      </w:r>
      <w:r>
        <w:rPr>
          <w:spacing w:val="-102"/>
        </w:rPr>
        <w:t> </w:t>
      </w:r>
      <w:r>
        <w:rPr>
          <w:spacing w:val="-102"/>
        </w:rPr>
      </w:r>
      <w:r>
        <w:rPr>
          <w:spacing w:val="-2"/>
        </w:rPr>
        <w:t>将通过多样的活动和小组讨论，引导学员知道听与说的重要意义，掌握倾听的技巧，</w:t>
      </w:r>
      <w:r>
        <w:rPr>
          <w:spacing w:val="-89"/>
        </w:rPr>
        <w:t> </w:t>
      </w:r>
      <w:r>
        <w:rPr>
          <w:spacing w:val="-89"/>
        </w:rPr>
      </w:r>
      <w:r>
        <w:rPr/>
        <w:t>知道无效倾听的类型，排除干扰沟通效率的障碍。</w:t>
      </w:r>
    </w:p>
    <w:p>
      <w:pPr>
        <w:spacing w:line="240" w:lineRule="auto" w:before="0"/>
        <w:rPr>
          <w:rFonts w:ascii="宋体" w:hAnsi="宋体" w:cs="宋体" w:eastAsia="宋体"/>
          <w:sz w:val="28"/>
          <w:szCs w:val="28"/>
        </w:rPr>
      </w:pPr>
    </w:p>
    <w:p>
      <w:pPr>
        <w:spacing w:line="240" w:lineRule="auto" w:before="5"/>
        <w:rPr>
          <w:rFonts w:ascii="宋体" w:hAnsi="宋体" w:cs="宋体" w:eastAsia="宋体"/>
          <w:sz w:val="24"/>
          <w:szCs w:val="24"/>
        </w:rPr>
      </w:pPr>
    </w:p>
    <w:p>
      <w:pPr>
        <w:pStyle w:val="Heading3"/>
        <w:spacing w:line="240" w:lineRule="auto"/>
        <w:ind w:right="3023"/>
        <w:jc w:val="center"/>
        <w:rPr>
          <w:b w:val="0"/>
          <w:bCs w:val="0"/>
        </w:rPr>
      </w:pPr>
      <w:r>
        <w:rPr/>
        <w:t>四、第四部分（看人之间）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left="2668" w:right="2610"/>
        <w:jc w:val="center"/>
      </w:pPr>
      <w:r>
        <w:rPr>
          <w:rFonts w:ascii="Calibri" w:hAnsi="Calibri" w:cs="Calibri" w:eastAsia="Calibri"/>
        </w:rPr>
        <w:t>1</w:t>
      </w:r>
      <w:r>
        <w:rPr/>
        <w:t>、发展关系动力</w:t>
      </w:r>
    </w:p>
    <w:p>
      <w:pPr>
        <w:pStyle w:val="BodyText"/>
        <w:spacing w:line="240" w:lineRule="auto"/>
        <w:ind w:left="2666" w:right="3023"/>
        <w:jc w:val="center"/>
      </w:pPr>
      <w:r>
        <w:rPr>
          <w:rFonts w:ascii="Calibri" w:hAnsi="Calibri" w:cs="Calibri" w:eastAsia="Calibri"/>
        </w:rPr>
        <w:t>1.1</w:t>
      </w:r>
      <w:r>
        <w:rPr>
          <w:rFonts w:ascii="Calibri" w:hAnsi="Calibri" w:cs="Calibri" w:eastAsia="Calibri"/>
          <w:spacing w:val="1"/>
        </w:rPr>
        <w:t> </w:t>
      </w:r>
      <w:r>
        <w:rPr/>
        <w:t>建立人际关系的意义</w:t>
      </w:r>
    </w:p>
    <w:p>
      <w:pPr>
        <w:pStyle w:val="BodyText"/>
        <w:spacing w:line="240" w:lineRule="auto"/>
        <w:ind w:left="2666" w:right="3023"/>
        <w:jc w:val="center"/>
      </w:pPr>
      <w:r>
        <w:rPr>
          <w:rFonts w:ascii="Calibri" w:hAnsi="Calibri" w:cs="Calibri" w:eastAsia="Calibri"/>
        </w:rPr>
        <w:t>1.2</w:t>
      </w:r>
      <w:r>
        <w:rPr>
          <w:rFonts w:ascii="Calibri" w:hAnsi="Calibri" w:cs="Calibri" w:eastAsia="Calibri"/>
          <w:spacing w:val="1"/>
        </w:rPr>
        <w:t> </w:t>
      </w:r>
      <w:r>
        <w:rPr/>
        <w:t>人际关系发展的模式</w:t>
      </w:r>
    </w:p>
    <w:p>
      <w:pPr>
        <w:spacing w:after="0" w:line="240" w:lineRule="auto"/>
        <w:jc w:val="center"/>
        <w:sectPr>
          <w:pgSz w:w="11910" w:h="16840"/>
          <w:pgMar w:top="1420" w:bottom="280" w:left="820" w:right="460"/>
        </w:sectPr>
      </w:pPr>
    </w:p>
    <w:p>
      <w:pPr>
        <w:pStyle w:val="BodyText"/>
        <w:spacing w:line="391" w:lineRule="exact" w:before="0"/>
        <w:ind w:left="3547" w:right="3487"/>
        <w:jc w:val="center"/>
      </w:pPr>
      <w:r>
        <w:rPr>
          <w:rFonts w:ascii="Calibri" w:hAnsi="Calibri" w:cs="Calibri" w:eastAsia="Calibri"/>
        </w:rPr>
        <w:t>2</w:t>
      </w:r>
      <w:r>
        <w:rPr/>
        <w:t>、表达亲密感</w:t>
      </w:r>
    </w:p>
    <w:p>
      <w:pPr>
        <w:pStyle w:val="BodyText"/>
        <w:spacing w:line="240" w:lineRule="auto"/>
        <w:ind w:left="3545" w:right="3902"/>
        <w:jc w:val="center"/>
      </w:pPr>
      <w:r>
        <w:rPr>
          <w:rFonts w:ascii="Calibri" w:hAnsi="Calibri" w:cs="Calibri" w:eastAsia="Calibri"/>
        </w:rPr>
        <w:t>2.1</w:t>
      </w:r>
      <w:r>
        <w:rPr>
          <w:rFonts w:ascii="Calibri" w:hAnsi="Calibri" w:cs="Calibri" w:eastAsia="Calibri"/>
          <w:spacing w:val="3"/>
        </w:rPr>
        <w:t> </w:t>
      </w:r>
      <w:r>
        <w:rPr/>
        <w:t>关系中的亲密</w:t>
      </w:r>
    </w:p>
    <w:p>
      <w:pPr>
        <w:pStyle w:val="BodyText"/>
        <w:spacing w:line="240" w:lineRule="auto"/>
        <w:ind w:left="3547" w:right="3902"/>
        <w:jc w:val="center"/>
      </w:pPr>
      <w:r>
        <w:rPr>
          <w:rFonts w:ascii="Calibri" w:hAnsi="Calibri" w:cs="Calibri" w:eastAsia="Calibri"/>
        </w:rPr>
        <w:t>2.2</w:t>
      </w:r>
      <w:r>
        <w:rPr>
          <w:rFonts w:ascii="Calibri" w:hAnsi="Calibri" w:cs="Calibri" w:eastAsia="Calibri"/>
          <w:spacing w:val="1"/>
        </w:rPr>
        <w:t> </w:t>
      </w:r>
      <w:r>
        <w:rPr/>
        <w:t>关系中的自我坦露</w:t>
      </w:r>
    </w:p>
    <w:p>
      <w:pPr>
        <w:pStyle w:val="BodyText"/>
        <w:spacing w:line="240" w:lineRule="auto"/>
        <w:ind w:left="3547" w:right="3902"/>
        <w:jc w:val="center"/>
      </w:pPr>
      <w:r>
        <w:rPr>
          <w:rFonts w:ascii="Calibri" w:hAnsi="Calibri" w:cs="Calibri" w:eastAsia="Calibri"/>
        </w:rPr>
        <w:t>2.3</w:t>
      </w:r>
      <w:r>
        <w:rPr>
          <w:rFonts w:ascii="Calibri" w:hAnsi="Calibri" w:cs="Calibri" w:eastAsia="Calibri"/>
          <w:spacing w:val="-1"/>
        </w:rPr>
        <w:t> </w:t>
      </w:r>
      <w:r>
        <w:rPr/>
        <w:t>自我坦露自我的其他沟通选择</w:t>
      </w:r>
    </w:p>
    <w:p>
      <w:pPr>
        <w:pStyle w:val="BodyText"/>
        <w:spacing w:line="240" w:lineRule="auto"/>
        <w:ind w:left="3547" w:right="3489"/>
        <w:jc w:val="center"/>
      </w:pPr>
      <w:r>
        <w:rPr>
          <w:rFonts w:ascii="Calibri" w:hAnsi="Calibri" w:cs="Calibri" w:eastAsia="Calibri"/>
        </w:rPr>
        <w:t>3</w:t>
      </w:r>
      <w:r>
        <w:rPr/>
        <w:t>、增进沟通气氛</w:t>
      </w:r>
    </w:p>
    <w:p>
      <w:pPr>
        <w:pStyle w:val="BodyText"/>
        <w:spacing w:line="240" w:lineRule="auto"/>
        <w:ind w:left="3547" w:right="3489"/>
        <w:jc w:val="center"/>
      </w:pPr>
      <w:r>
        <w:rPr>
          <w:rFonts w:ascii="Calibri" w:hAnsi="Calibri" w:cs="Calibri" w:eastAsia="Calibri"/>
        </w:rPr>
        <w:t>4</w:t>
      </w:r>
      <w:r>
        <w:rPr/>
        <w:t>、处理人际冲突</w:t>
      </w:r>
    </w:p>
    <w:p>
      <w:pPr>
        <w:pStyle w:val="BodyText"/>
        <w:spacing w:line="240" w:lineRule="auto"/>
        <w:ind w:left="3547" w:right="3485"/>
        <w:jc w:val="center"/>
      </w:pPr>
      <w:r>
        <w:rPr>
          <w:rFonts w:ascii="Calibri" w:hAnsi="Calibri" w:cs="Calibri" w:eastAsia="Calibri"/>
        </w:rPr>
        <w:t>4.1</w:t>
      </w:r>
      <w:r>
        <w:rPr>
          <w:rFonts w:ascii="Calibri" w:hAnsi="Calibri" w:cs="Calibri" w:eastAsia="Calibri"/>
          <w:spacing w:val="5"/>
        </w:rPr>
        <w:t> </w:t>
      </w:r>
      <w:r>
        <w:rPr/>
        <w:t>冲突的本质</w:t>
      </w:r>
    </w:p>
    <w:p>
      <w:pPr>
        <w:pStyle w:val="BodyText"/>
        <w:spacing w:line="240" w:lineRule="auto"/>
        <w:ind w:left="3547" w:right="3485"/>
        <w:jc w:val="center"/>
      </w:pPr>
      <w:r>
        <w:rPr>
          <w:rFonts w:ascii="Calibri" w:hAnsi="Calibri" w:cs="Calibri" w:eastAsia="Calibri"/>
        </w:rPr>
        <w:t>4.2</w:t>
      </w:r>
      <w:r>
        <w:rPr>
          <w:rFonts w:ascii="Calibri" w:hAnsi="Calibri" w:cs="Calibri" w:eastAsia="Calibri"/>
          <w:spacing w:val="5"/>
        </w:rPr>
        <w:t> </w:t>
      </w:r>
      <w:r>
        <w:rPr/>
        <w:t>冲突的类型</w:t>
      </w:r>
    </w:p>
    <w:p>
      <w:pPr>
        <w:pStyle w:val="BodyText"/>
        <w:spacing w:line="240" w:lineRule="auto"/>
        <w:ind w:left="3547" w:right="3485"/>
        <w:jc w:val="center"/>
      </w:pPr>
      <w:r>
        <w:rPr>
          <w:rFonts w:ascii="Calibri" w:hAnsi="Calibri" w:cs="Calibri" w:eastAsia="Calibri"/>
        </w:rPr>
        <w:t>4.3</w:t>
      </w:r>
      <w:r>
        <w:rPr>
          <w:rFonts w:ascii="Calibri" w:hAnsi="Calibri" w:cs="Calibri" w:eastAsia="Calibri"/>
          <w:spacing w:val="3"/>
        </w:rPr>
        <w:t> </w:t>
      </w:r>
      <w:r>
        <w:rPr/>
        <w:t>关系系统中的冲突</w:t>
      </w:r>
    </w:p>
    <w:p>
      <w:pPr>
        <w:pStyle w:val="BodyText"/>
        <w:spacing w:line="240" w:lineRule="auto"/>
        <w:ind w:left="3547" w:right="3485"/>
        <w:jc w:val="center"/>
      </w:pPr>
      <w:r>
        <w:rPr>
          <w:rFonts w:ascii="Calibri" w:hAnsi="Calibri" w:cs="Calibri" w:eastAsia="Calibri"/>
        </w:rPr>
        <w:t>4.4</w:t>
      </w:r>
      <w:r>
        <w:rPr>
          <w:rFonts w:ascii="Calibri" w:hAnsi="Calibri" w:cs="Calibri" w:eastAsia="Calibri"/>
          <w:spacing w:val="3"/>
        </w:rPr>
        <w:t> </w:t>
      </w:r>
      <w:r>
        <w:rPr/>
        <w:t>冲突类型中的变项</w:t>
      </w:r>
    </w:p>
    <w:p>
      <w:pPr>
        <w:pStyle w:val="BodyText"/>
        <w:spacing w:line="240" w:lineRule="auto"/>
        <w:ind w:left="360" w:right="0" w:firstLine="4252"/>
        <w:jc w:val="left"/>
      </w:pPr>
      <w:r>
        <w:rPr>
          <w:rFonts w:ascii="Calibri" w:hAnsi="Calibri" w:cs="Calibri" w:eastAsia="Calibri"/>
        </w:rPr>
        <w:t>4.5</w:t>
      </w:r>
      <w:r>
        <w:rPr>
          <w:rFonts w:ascii="Calibri" w:hAnsi="Calibri" w:cs="Calibri" w:eastAsia="Calibri"/>
          <w:spacing w:val="1"/>
        </w:rPr>
        <w:t> </w:t>
      </w:r>
      <w:r>
        <w:rPr/>
        <w:t>处理冲突的技巧</w:t>
      </w:r>
    </w:p>
    <w:p>
      <w:pPr>
        <w:spacing w:line="240" w:lineRule="auto" w:before="0"/>
        <w:rPr>
          <w:rFonts w:ascii="宋体" w:hAnsi="宋体" w:cs="宋体" w:eastAsia="宋体"/>
          <w:sz w:val="30"/>
          <w:szCs w:val="30"/>
        </w:rPr>
      </w:pPr>
    </w:p>
    <w:p>
      <w:pPr>
        <w:spacing w:line="240" w:lineRule="auto" w:before="8"/>
        <w:rPr>
          <w:rFonts w:ascii="宋体" w:hAnsi="宋体" w:cs="宋体" w:eastAsia="宋体"/>
          <w:sz w:val="34"/>
          <w:szCs w:val="34"/>
        </w:rPr>
      </w:pPr>
    </w:p>
    <w:p>
      <w:pPr>
        <w:pStyle w:val="BodyText"/>
        <w:spacing w:line="408" w:lineRule="auto" w:before="0"/>
        <w:ind w:left="360" w:right="578"/>
        <w:jc w:val="both"/>
      </w:pPr>
      <w:r>
        <w:rPr/>
        <w:pict>
          <v:shape style="position:absolute;margin-left:23.16pt;margin-top:87.821564pt;width:567.96pt;height:334.44pt;mso-position-horizontal-relative:page;mso-position-vertical-relative:paragraph;z-index:-5656" type="#_x0000_t75" stroked="false">
            <v:imagedata r:id="rId8" o:title=""/>
          </v:shape>
        </w:pict>
      </w:r>
      <w:r>
        <w:rPr/>
        <w:t>简介：在本部分，我们将技巧和原则应用于实践，所有的沟通都在人际关系中体现。</w:t>
      </w:r>
      <w:r>
        <w:rPr>
          <w:spacing w:val="-44"/>
        </w:rPr>
        <w:t> </w:t>
      </w:r>
      <w:r>
        <w:rPr>
          <w:spacing w:val="-44"/>
        </w:rPr>
      </w:r>
      <w:r>
        <w:rPr/>
        <w:t>我们将引导学员在亲密关系、朋友关系、工作关系中，掌握适宜的沟通技巧，建立正</w:t>
      </w:r>
      <w:r>
        <w:rPr>
          <w:spacing w:val="-44"/>
        </w:rPr>
        <w:t> </w:t>
      </w:r>
      <w:r>
        <w:rPr>
          <w:spacing w:val="-44"/>
        </w:rPr>
      </w:r>
      <w:r>
        <w:rPr>
          <w:spacing w:val="-3"/>
        </w:rPr>
        <w:t>向的人际关系模型。恰当处理人际关系的冲突，建设性的提高人际沟通的效果和效率。</w:t>
      </w:r>
    </w:p>
    <w:sectPr>
      <w:pgSz w:w="11910" w:h="16840"/>
      <w:pgMar w:top="800" w:bottom="0" w:left="3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微软雅黑">
    <w:altName w:val="微软雅黑"/>
    <w:charset w:val="86"/>
    <w:family w:val="swiss"/>
    <w:pitch w:val="variable"/>
  </w:font>
  <w:font w:name="宋体">
    <w:altName w:val="宋体"/>
    <w:charset w:val="86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221"/>
      <w:ind w:left="2807"/>
    </w:pPr>
    <w:rPr>
      <w:rFonts w:ascii="宋体" w:hAnsi="宋体" w:eastAsia="宋体"/>
      <w:sz w:val="28"/>
      <w:szCs w:val="28"/>
    </w:rPr>
  </w:style>
  <w:style w:styleId="Heading1" w:type="paragraph">
    <w:name w:val="Heading 1"/>
    <w:basedOn w:val="Normal"/>
    <w:uiPriority w:val="1"/>
    <w:qFormat/>
    <w:pPr>
      <w:ind w:left="4627"/>
      <w:outlineLvl w:val="1"/>
    </w:pPr>
    <w:rPr>
      <w:rFonts w:ascii="微软雅黑" w:hAnsi="微软雅黑" w:eastAsia="微软雅黑"/>
      <w:b/>
      <w:bCs/>
      <w:sz w:val="64"/>
      <w:szCs w:val="64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宋体" w:hAnsi="宋体" w:eastAsia="宋体"/>
      <w:b/>
      <w:bCs/>
      <w:sz w:val="44"/>
      <w:szCs w:val="44"/>
    </w:rPr>
  </w:style>
  <w:style w:styleId="Heading3" w:type="paragraph">
    <w:name w:val="Heading 3"/>
    <w:basedOn w:val="Normal"/>
    <w:uiPriority w:val="1"/>
    <w:qFormat/>
    <w:pPr>
      <w:ind w:left="2666"/>
      <w:outlineLvl w:val="3"/>
    </w:pPr>
    <w:rPr>
      <w:rFonts w:ascii="宋体" w:hAnsi="宋体" w:eastAsia="宋体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dcterms:created xsi:type="dcterms:W3CDTF">2023-12-21T10:40:04Z</dcterms:created>
  <dcterms:modified xsi:type="dcterms:W3CDTF">2023-12-21T10:40:04Z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