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 w:cs="阿里巴巴普惠体 R"/>
          <w:b/>
          <w:color w:val="000000" w:themeColor="text1"/>
          <w:sz w:val="36"/>
          <w:szCs w:val="28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-252730</wp:posOffset>
                </wp:positionH>
                <wp:positionV relativeFrom="paragraph">
                  <wp:posOffset>97790</wp:posOffset>
                </wp:positionV>
                <wp:extent cx="4977130" cy="1960245"/>
                <wp:effectExtent l="0" t="0" r="0" b="1905"/>
                <wp:wrapTight wrapText="bothSides">
                  <wp:wrapPolygon>
                    <wp:start x="1075" y="0"/>
                    <wp:lineTo x="1075" y="6717"/>
                    <wp:lineTo x="0" y="9026"/>
                    <wp:lineTo x="0" y="21411"/>
                    <wp:lineTo x="21495" y="21411"/>
                    <wp:lineTo x="21495" y="8816"/>
                    <wp:lineTo x="15377" y="6717"/>
                    <wp:lineTo x="15377" y="0"/>
                    <wp:lineTo x="1075" y="0"/>
                  </wp:wrapPolygon>
                </wp:wrapTight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7130" cy="1960245"/>
                          <a:chOff x="0" y="0"/>
                          <a:chExt cx="4977517" cy="1960411"/>
                        </a:xfrm>
                      </wpg:grpSpPr>
                      <wps:wsp>
                        <wps:cNvPr id="3" name="矩形 3"/>
                        <wps:cNvSpPr/>
                        <wps:spPr>
                          <a:xfrm>
                            <a:off x="0" y="826936"/>
                            <a:ext cx="4977517" cy="1133475"/>
                          </a:xfrm>
                          <a:prstGeom prst="rect">
                            <a:avLst/>
                          </a:prstGeom>
                          <a:solidFill>
                            <a:srgbClr val="E46A0A"/>
                          </a:solidFill>
                          <a:ln w="381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矩形 4"/>
                        <wps:cNvSpPr/>
                        <wps:spPr>
                          <a:xfrm>
                            <a:off x="286247" y="0"/>
                            <a:ext cx="3238500" cy="1209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微软雅黑" w:hAnsi="微软雅黑" w:eastAsia="微软雅黑"/>
                                  <w:b/>
                                  <w:bCs/>
                                  <w:color w:val="E46A0A"/>
                                  <w:sz w:val="96"/>
                                  <w:szCs w:val="144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bCs/>
                                  <w:color w:val="E46A0A"/>
                                  <w:sz w:val="96"/>
                                  <w:szCs w:val="144"/>
                                  <w:lang w:eastAsia="zh-CN"/>
                                </w:rPr>
                                <w:t>创新围城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9.9pt;margin-top:7.7pt;height:154.35pt;width:391.9pt;mso-wrap-distance-left:9pt;mso-wrap-distance-right:9pt;z-index:-251657216;mso-width-relative:page;mso-height-relative:page;" coordsize="4977517,1960411" wrapcoords="1075 0 1075 6717 0 9026 0 21411 21495 21411 21495 8816 15377 6717 15377 0 1075 0" o:gfxdata="UEsDBAoAAAAAAIdO4kAAAAAAAAAAAAAAAAAEAAAAZHJzL1BLAwQUAAAACACHTuJAzAoGEtoAAAAK&#10;AQAADwAAAGRycy9kb3ducmV2LnhtbE2PzU7DMBCE70i8g7VI3FrHTcpPiFOhCjhVSLRIiNs23iZR&#10;YzuK3aR9e5YTHEczmvmmWJ1tJ0YaQuudBjVPQJCrvGldreFz9zp7ABEiOoOdd6ThQgFW5fVVgbnx&#10;k/ugcRtrwSUu5KihibHPpQxVQxbD3Pfk2Dv4wWJkOdTSDDhxue3kIknupMXW8UKDPa0bqo7bk9Xw&#10;NuH0nKqXcXM8rC/fu+X710aR1rc3KnkCEekc/8Lwi8/oUDLT3p+cCaLTMEsfGT2yscxAcOA+y/jc&#10;XkO6yBTIspD/L5Q/UEsDBBQAAAAIAIdO4kAs9EgqGQMAAAAJAAAOAAAAZHJzL2Uyb0RvYy54bWzt&#10;lsluEzEYgO9IvIPlO501qzqpooZUSBWtVBBnx/Esksc2ttNJOXPgyBsgceMZEI9T8Rr89kwWUhAF&#10;BOLAHCb22P6X71+c45N1zdE106aSIsPRUYgRE1QuK1Fk+Pmz+aMhRsYSsSRcCpbhG2bwyeThg+NG&#10;jVksS8mXTCMQIsy4URkurVXjIDC0ZDUxR1IxAYu51DWxMNVFsNSkAek1D+Iw7AeN1EulJWXGwNdZ&#10;u4g7ifo+AmWeV5TNJF3VTNhWqmacWHDJlJUyeOKtzXNG7UWeG2YRzzB4av0blMB44d7B5JiMC01U&#10;WdHOBHIfEw58qkklQOlW1IxYgla6uiOqrqiWRub2iMo6aB3xRMCLKDxgc6blSnlfinFTqC10CNQB&#10;9V8WS59eX2pULTM8wEiQGgL++ePr27dv0MCxaVQxhi1nWl2pS919KNqZc3ed69r9giNo7anebKmy&#10;tUUUPqajwSBKADiFtWjUD+O013KnJQTnzjlaPt472YvAsM3JNIrcyWCjOHD2bc1pFGSk2WEyv4fp&#10;qiSKefrGMegwJVtM7z7cfnqPkhaT37JlZMYGcH0X0DDuj5J+y2Cf0s7XKEnSgae09ZWMlTb2jMka&#10;uUGGNSS3zzlyfW5si2Wzxak2klfLecW5n+hicco1uiZQCI/T/jScdiS/2sYFajKcDKPQxYtAeedQ&#10;VjCsFaSIEQVGhBfQN6jVXreQTgMob82bEVO2OrzY1sW6stAxeFVneBi6p9PMBYTSBa2F5UYLubwB&#10;0Fq2hWoUnVfg7Dkx9pJoqEwwC3qXvYBXziXYKrsRRqXUr7713e2HTIBVjBqodPDj5YpohhF/IiBH&#10;RlGagljrJ2lvEMNE768s9lfEqj6VwDCCLqmoH7r9lm+GuZb1C2hxU6cVloigoLsl1k1ObduBoElS&#10;Np36bdAOFLHn4kpRJ9wBFXK6sjKvfGx3dDpokOmuPv9CyqcHKZ+6+DnNUBU/Tvl42I9TqOG7jSGJ&#10;k2HPJ5prDHE46v+5lJ/7519MebterDue/7P/57Lft3+4GP2N0F3i7ubdn/tq2f1xmXw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jAUAAFtDb250&#10;ZW50X1R5cGVzXS54bWxQSwECFAAKAAAAAACHTuJAAAAAAAAAAAAAAAAABgAAAAAAAAAAABAAAABu&#10;BAAAX3JlbHMvUEsBAhQAFAAAAAgAh07iQIoUZjzRAAAAlAEAAAsAAAAAAAAAAQAgAAAAkgQAAF9y&#10;ZWxzLy5yZWxzUEsBAhQACgAAAAAAh07iQAAAAAAAAAAAAAAAAAQAAAAAAAAAAAAQAAAAAAAAAGRy&#10;cy9QSwECFAAUAAAACACHTuJAzAoGEtoAAAAKAQAADwAAAAAAAAABACAAAAAiAAAAZHJzL2Rvd25y&#10;ZXYueG1sUEsBAhQAFAAAAAgAh07iQCz0SCoZAwAAAAkAAA4AAAAAAAAAAQAgAAAAKQEAAGRycy9l&#10;Mm9Eb2MueG1sUEsFBgAAAAAGAAYAWQEAALQGAAAAAA==&#10;">
                <o:lock v:ext="edit" aspectratio="f"/>
                <v:rect id="_x0000_s1026" o:spid="_x0000_s1026" o:spt="1" style="position:absolute;left:0;top:826936;height:1133475;width:4977517;v-text-anchor:middle;" fillcolor="#E46A0A" filled="t" stroked="f" coordsize="21600,21600" o:gfxdata="UEsDBAoAAAAAAIdO4kAAAAAAAAAAAAAAAAAEAAAAZHJzL1BLAwQUAAAACACHTuJAn5d0XroAAADa&#10;AAAADwAAAGRycy9kb3ducmV2LnhtbEWPT4vCMBTE7wt+h/AEL4umVZClGj2Igh79c9jjo3k2xeal&#10;NNmmfvuNIHgcZuY3zHo72Eb01PnasYJ8loEgLp2uuVJwux6mPyB8QNbYOCYFT/Kw3Yy+1lhoF/lM&#10;/SVUIkHYF6jAhNAWUvrSkEU/cy1x8u6usxiS7CqpO4wJbhs5z7KltFhzWjDY0s5Q+bj8WQWl6U+/&#10;37I97Qe7iPM8NvH4PCg1GefZCkSgIXzC7/ZRK1jA60q6AXLz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l3ReugAAANoA&#10;AAAPAAAAAAAAAAEAIAAAACIAAABkcnMvZG93bnJldi54bWxQSwECFAAUAAAACACHTuJAMy8FnjsA&#10;AAA5AAAAEAAAAAAAAAABACAAAAAJAQAAZHJzL3NoYXBleG1sLnhtbFBLBQYAAAAABgAGAFsBAACz&#10;AwAAAAA=&#10;">
                  <v:fill on="t" focussize="0,0"/>
                  <v:stroke on="f" weight="3pt" miterlimit="8" joinstyle="miter"/>
                  <v:imagedata o:title=""/>
                  <o:lock v:ext="edit" aspectratio="f"/>
                </v:rect>
                <v:rect id="_x0000_s1026" o:spid="_x0000_s1026" o:spt="1" style="position:absolute;left:286247;top:0;height:1209675;width:3238500;v-text-anchor:middle;" fillcolor="#FFFFFF [3212]" filled="t" stroked="f" coordsize="21600,21600" o:gfxdata="UEsDBAoAAAAAAIdO4kAAAAAAAAAAAAAAAAAEAAAAZHJzL1BLAwQUAAAACACHTuJAT+JvdbwAAADa&#10;AAAADwAAAGRycy9kb3ducmV2LnhtbEWPQWvCQBSE7wX/w/KEXoruWoJodBUJsYi3qgePj+wziWbf&#10;huwa7b/vFoQeh5n5hlmun7YRPXW+dqxhMlYgiAtnai41nI7b0QyED8gGG8ek4Yc8rFeDtyWmxj34&#10;m/pDKEWEsE9RQxVCm0rpi4os+rFriaN3cZ3FEGVXStPhI8JtIz+VmkqLNceFClvKKipuh7vV8JVT&#10;lvUuTz6mV7XfHedJvtmctX4fTtQCRKBn+A+/2jujIYG/K/EGyN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/ib3W8AAAA&#10;2gAAAA8AAAAAAAAAAQAgAAAAIgAAAGRycy9kb3ducmV2LnhtbFBLAQIUABQAAAAIAIdO4kAzLwWe&#10;OwAAADkAAAAQAAAAAAAAAAEAIAAAAAsBAABkcnMvc2hhcGV4bWwueG1sUEsFBgAAAAAGAAYAWwEA&#10;ALUDAAAAAA==&#10;">
                  <v:fill on="t" focussize="0,0"/>
                  <v:stroke on="f" weight="3pt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微软雅黑" w:hAnsi="微软雅黑" w:eastAsia="微软雅黑"/>
                            <w:b/>
                            <w:bCs/>
                            <w:color w:val="E46A0A"/>
                            <w:sz w:val="96"/>
                            <w:szCs w:val="144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bCs/>
                            <w:color w:val="E46A0A"/>
                            <w:sz w:val="96"/>
                            <w:szCs w:val="144"/>
                            <w:lang w:eastAsia="zh-CN"/>
                          </w:rPr>
                          <w:t>创新围城</w:t>
                        </w:r>
                      </w:p>
                    </w:txbxContent>
                  </v:textbox>
                </v:rect>
                <w10:wrap type="tight"/>
              </v:group>
            </w:pict>
          </mc:Fallback>
        </mc:AlternateContent>
      </w:r>
      <w:r>
        <w:rPr>
          <w:rFonts w:ascii="微软雅黑" w:hAnsi="微软雅黑" w:eastAsia="微软雅黑" w:cs="阿里巴巴普惠体 R"/>
          <w:b/>
          <w:sz w:val="36"/>
          <w:szCs w:val="28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>
                <wp:simplePos x="0" y="0"/>
                <wp:positionH relativeFrom="margin">
                  <wp:posOffset>2792095</wp:posOffset>
                </wp:positionH>
                <wp:positionV relativeFrom="paragraph">
                  <wp:posOffset>254000</wp:posOffset>
                </wp:positionV>
                <wp:extent cx="419100" cy="1404620"/>
                <wp:effectExtent l="0" t="0" r="0" b="0"/>
                <wp:wrapTight wrapText="bothSides">
                  <wp:wrapPolygon>
                    <wp:start x="2945" y="0"/>
                    <wp:lineTo x="2945" y="20716"/>
                    <wp:lineTo x="17673" y="20716"/>
                    <wp:lineTo x="17673" y="0"/>
                    <wp:lineTo x="2945" y="0"/>
                  </wp:wrapPolygon>
                </wp:wrapTight>
                <wp:docPr id="12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ED7D31" w:themeColor="accent2"/>
                                <w:sz w:val="30"/>
                                <w:szCs w:val="30"/>
                                <w14:textFill>
                                  <w14:solidFill>
                                    <w14:schemeClr w14:val="accent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ED7D31" w:themeColor="accent2"/>
                                <w:sz w:val="30"/>
                                <w:szCs w:val="30"/>
                                <w14:textFill>
                                  <w14:solidFill>
                                    <w14:schemeClr w14:val="accent2"/>
                                  </w14:solidFill>
                                </w14:textFill>
                              </w:rPr>
                              <w:t>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19.85pt;margin-top:20pt;height:110.6pt;width:33pt;mso-position-horizontal-relative:margin;mso-wrap-distance-left:9pt;mso-wrap-distance-right:9pt;z-index:-251655168;mso-width-relative:page;mso-height-relative:margin;mso-height-percent:200;" filled="f" stroked="f" coordsize="21600,21600" wrapcoords="2945 0 2945 20716 17673 20716 17673 0 2945 0" o:gfxdata="UEsDBAoAAAAAAIdO4kAAAAAAAAAAAAAAAAAEAAAAZHJzL1BLAwQUAAAACACHTuJADAxatdgAAAAK&#10;AQAADwAAAGRycy9kb3ducmV2LnhtbE2PQU/DMAyF70j8h8hI3FjSwjYoTSeEtnEcjIpz1pi2onGi&#10;JuvGv8ec4Gb7PT1/r1yd3SAmHGPvSUM2UyCQGm97ajXU75ubexAxGbJm8IQavjHCqrq8KE1h/Yne&#10;cNqnVnAIxcJo6FIKhZSx6dCZOPMBibVPPzqTeB1baUdz4nA3yFyphXSmJ/7QmYDPHTZf+6PTEFLY&#10;Ll/G3evTejOp+mNb53271vr6KlOPIBKe058ZfvEZHSpmOvgj2SgGDXe3D0u28qC4Exvmas6Hg4Z8&#10;keUgq1L+r1D9AFBLAwQUAAAACACHTuJA+HyNJCUCAAArBAAADgAAAGRycy9lMm9Eb2MueG1srVNL&#10;btswEN0X6B0I7mt9IKexYDlIY7gokH6AtAegKcoiKnJYkraUHqC9QVfddN9z+RwdUoprpJssqoVA&#10;coZv5r15XF4NqiMHYZ0EXdFsllIiNIda6l1FP33cvLikxHmma9aBFhW9F45erZ4/W/amFDm00NXC&#10;EgTRruxNRVvvTZkkjrdCMTcDIzQGG7CKedzaXVJb1iO66pI8TS+SHmxtLHDhHJ6uxyCdEO1TAKFp&#10;JBdr4HsltB9RreiYR0qulcbRVey2aQT375vGCU+6iiJTH/9YBNfb8E9WS1buLDOt5FML7CktPOKk&#10;mNRY9AS1Zp6RvZX/QCnJLTho/IyDSkYiURFkkaWPtLlrmRGRC0rtzEl09/9g+bvDB0tkjU7Ic0o0&#10;Uzjy44/vx5+/j7++kTwI1BtXYt6dwUw/vIIBkyNZZ26Bf3ZEw03L9E5cWwt9K1iNDWbhZnJ2dcRx&#10;AWTbv4Ua67C9hwg0NFYF9VAPgug4nPvTcMTgCcfDIltkKUY4hrIiLS7yOL2ElQ+3jXX+tQBFwqKi&#10;Focf0dnh1vnQDSsfUkIxDRvZddEAnSZ9RRfzfB4vnEWU9Oj2TqqKXqbhi7RY2emJXSA0UvPDdpjU&#10;2kJ9jzwtjH7D14aLFuxXSnr0WkXdlz2zgpLujUatFllRBHPGTTF/icyIPY9szyNMc4SqqKdkXN74&#10;aOjAyZlr1HQjI90g/tjJ1Ct6KKow+T2Y9Hwfs/6+8d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DAxatdgAAAAKAQAADwAAAAAAAAABACAAAAAiAAAAZHJzL2Rvd25yZXYueG1sUEsBAhQAFAAAAAgA&#10;h07iQPh8jSQlAgAAKwQAAA4AAAAAAAAAAQAgAAAAJw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ED7D31" w:themeColor="accent2"/>
                          <w:sz w:val="30"/>
                          <w:szCs w:val="30"/>
                          <w14:textFill>
                            <w14:solidFill>
                              <w14:schemeClr w14:val="accent2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ED7D31" w:themeColor="accent2"/>
                          <w:sz w:val="30"/>
                          <w:szCs w:val="30"/>
                          <w14:textFill>
                            <w14:solidFill>
                              <w14:schemeClr w14:val="accent2"/>
                            </w14:solidFill>
                          </w14:textFill>
                        </w:rPr>
                        <w:t>©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 w:cs="阿里巴巴普惠体 R"/>
          <w:b/>
          <w:sz w:val="36"/>
          <w:szCs w:val="28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>
                <wp:simplePos x="0" y="0"/>
                <wp:positionH relativeFrom="margin">
                  <wp:posOffset>-250825</wp:posOffset>
                </wp:positionH>
                <wp:positionV relativeFrom="paragraph">
                  <wp:posOffset>99060</wp:posOffset>
                </wp:positionV>
                <wp:extent cx="4954270" cy="1090930"/>
                <wp:effectExtent l="0" t="0" r="0" b="0"/>
                <wp:wrapTight wrapText="bothSides">
                  <wp:wrapPolygon>
                    <wp:start x="421" y="851"/>
                    <wp:lineTo x="21182" y="851"/>
                    <wp:lineTo x="21182" y="20760"/>
                    <wp:lineTo x="421" y="20760"/>
                    <wp:lineTo x="421" y="851"/>
                  </wp:wrapPolygon>
                </wp:wrapTight>
                <wp:docPr id="12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4270" cy="1090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创新思维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与问题解决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版权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桌游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课程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19.75pt;margin-top:7.8pt;height:85.9pt;width:390.1pt;mso-position-horizontal-relative:margin;mso-wrap-distance-left:9pt;mso-wrap-distance-right:9pt;z-index:-251656192;mso-width-relative:page;mso-height-relative:margin;mso-height-percent:200;" filled="f" stroked="f" coordsize="21600,21600" wrapcoords="421 851 21182 851 21182 20760 421 20760 421 851" o:gfxdata="UEsDBAoAAAAAAIdO4kAAAAAAAAAAAAAAAAAEAAAAZHJzL1BLAwQUAAAACACHTuJAjpv/qdgAAAAK&#10;AQAADwAAAGRycy9kb3ducmV2LnhtbE2PwU7DMAyG70i8Q2Qkbluysa2jNJ0Q2sYRGBXnrDFtReNU&#10;SdaNt8ec4Gj/n35/LjYX14sRQ+w8aZhNFQik2tuOGg3V+26yBhGTIWt6T6jhGyNsyuurwuTWn+kN&#10;x0NqBJdQzI2GNqUhlzLWLToTp35A4uzTB2cSj6GRNpgzl7tezpVaSWc64gutGfCpxfrrcHIahjTs&#10;s+fw8vq43Y2q+thX867Zan17M1MPIBJe0h8Mv/qsDiU7Hf2JbBS9hsnd/ZJRDpYrEAxkC5WBOPJi&#10;nS1AloX8/0L5A1BLAwQUAAAACACHTuJATV3WDycCAAAsBAAADgAAAGRycy9lMm9Eb2MueG1srVPN&#10;jtMwEL4j8Q6W7zRptmW3UdPVslUR0vIjLTyA6ziNhe0xttukPAC8AScu3HmuPgdjp1uq5bIHcog8&#10;nvHn+b75PL/utSI74bwEU9HxKKdEGA61NJuKfvq4enFFiQ/M1EyBERXdC0+vF8+fzTtbigJaULVw&#10;BEGMLztb0TYEW2aZ563QzI/ACoPJBpxmAUO3yWrHOkTXKivy/GXWgautAy68x93lkKRHRPcUQGga&#10;ycUS+FYLEwZUJxQLSMm30nq6SN02jeDhfdN4EYiqKDIN6Y+X4Hod/9lizsqNY7aV/NgCe0oLjzhp&#10;Jg1eeoJassDI1sl/oLTkDjw0YcRBZwORpAiyGOePtLlvmRWJC0rt7Ul0//9g+bvdB0dkjU4oLigx&#10;TOPIDz++H37+Pvz6RoooUGd9iXX3FitD/wp6LE5kvb0D/tkTA7ctMxtx4xx0rWA1NjiOJ7OzowOO&#10;jyDr7i3UeA/bBkhAfeN0VA/1IIiOw9mfhiP6QDhuTmbTSXGJKY65cT7LZxdpfBkrH45b58NrAZrE&#10;RUUdTj/Bs92dD7EdVj6UxNsMrKRSyQHKkK6is2kxTQfOMloGtLuSuqJXefwSL1Yqc6QXGQ3cQr/u&#10;j3Ktod4jUQeD4fC54aIF95WSDs1WUf9ly5ygRL0xKNZsPJlEd6ZgMr0sMHDnmfV5hhmOUBUNlAzL&#10;25AcHTl5e4OirmSiG9UfOjn2iiZKKhwNH116Hqeqv4988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Om/+p2AAAAAoBAAAPAAAAAAAAAAEAIAAAACIAAABkcnMvZG93bnJldi54bWxQSwECFAAUAAAA&#10;CACHTuJATV3WDycCAAAsBAAADgAAAAAAAAABACAAAAAn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48"/>
                          <w:szCs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创新思维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4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与问题解决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版权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4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桌游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课程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eastAsia="宋体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1811020</wp:posOffset>
            </wp:positionH>
            <wp:positionV relativeFrom="paragraph">
              <wp:posOffset>91440</wp:posOffset>
            </wp:positionV>
            <wp:extent cx="1950720" cy="3185795"/>
            <wp:effectExtent l="0" t="0" r="5080" b="1905"/>
            <wp:wrapSquare wrapText="bothSides"/>
            <wp:docPr id="8" name="图片 1" descr="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318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margin">
                  <wp:posOffset>-123825</wp:posOffset>
                </wp:positionH>
                <wp:positionV relativeFrom="paragraph">
                  <wp:posOffset>-22860</wp:posOffset>
                </wp:positionV>
                <wp:extent cx="4267835" cy="1111250"/>
                <wp:effectExtent l="0" t="0" r="0" b="0"/>
                <wp:wrapTight wrapText="bothSides">
                  <wp:wrapPolygon>
                    <wp:start x="495" y="1012"/>
                    <wp:lineTo x="21105" y="1012"/>
                    <wp:lineTo x="21105" y="20588"/>
                    <wp:lineTo x="495" y="20588"/>
                    <wp:lineTo x="495" y="1012"/>
                  </wp:wrapPolygon>
                </wp:wrapTight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835" cy="111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Arial" w:hAnsi="Arial" w:eastAsia="宋体" w:cs="Arial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13"/>
                                <w:szCs w:val="13"/>
                                <w:shd w:val="clear" w:fil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00000" w:themeColor="text1"/>
                                <w:sz w:val="28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创新犹如一座</w:t>
                            </w:r>
                            <w:r>
                              <w:rPr>
                                <w:rFonts w:hint="default" w:ascii="微软雅黑" w:hAnsi="微软雅黑" w:eastAsia="微软雅黑"/>
                                <w:color w:val="000000" w:themeColor="text1"/>
                                <w:sz w:val="28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围城，有的人想进去，但有的人想出去。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 w:ascii="微软雅黑" w:hAnsi="微软雅黑" w:eastAsia="微软雅黑"/>
                                <w:color w:val="000000" w:themeColor="text1"/>
                                <w:sz w:val="28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00000" w:themeColor="text1"/>
                                <w:sz w:val="28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——创新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000000" w:themeColor="text1"/>
                                <w:sz w:val="28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者的窘境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.75pt;margin-top:-1.8pt;height:87.5pt;width:336.05pt;mso-position-horizontal-relative:margin;mso-wrap-distance-left:9pt;mso-wrap-distance-right:9pt;z-index:-251654144;v-text-anchor:middle;mso-width-relative:page;mso-height-relative:page;" filled="f" stroked="f" coordsize="21600,21600" wrapcoords="495 1012 21105 1012 21105 20588 495 20588 495 1012" o:gfxdata="UEsDBAoAAAAAAIdO4kAAAAAAAAAAAAAAAAAEAAAAZHJzL1BLAwQUAAAACACHTuJAaGqNDdgAAAAK&#10;AQAADwAAAGRycy9kb3ducmV2LnhtbE2PwU7DMAyG70i8Q2QkblvawcooTSeBhBDaATG2e5p4bUXj&#10;VE3abm+POcHtt/zp9+die3admHAIrScF6TIBgWS8balWcPh6XWxAhKjJ6s4TKrhggG15fVXo3PqZ&#10;PnHax1pwCYVcK2hi7HMpg2nQ6bD0PRLvTn5wOvI41NIOeuZy18lVkmTS6Zb4QqN7fGnQfO9Hp+Do&#10;T8+zMxW9T5ePdnzbDcZsdkrd3qTJE4iI5/gHw68+q0PJTpUfyQbRKVikj2tGOdxlIBjI1isOFZMP&#10;6T3IspD/Xyh/AFBLAwQUAAAACACHTuJAXP4vmmACAACwBAAADgAAAGRycy9lMm9Eb2MueG1srVRL&#10;btswEN0X6B0I7hvZrvOpETkwYqQoEDQB3KJrmiItAvyVpC2nlynQXQ+R4xS9Rh8pJTHSLrKoFtQM&#10;ZzSfN290frE3muxEiMrZmo6PRpQIy12j7Kamnz9dvTmjJCZmG6adFTW9E5FezF+/Ou/8TExc63Qj&#10;AkEQG2edr2mbkp9VVeStMCweOS8sjNIFwxLUsKmawDpEN7qajEYnVedC44PjIkbcLnsjHSKGlwR0&#10;Uioulo5vjbCpjxqEZgktxVb5SOelWikFTzdSRpGIrik6TeVEEsjrfFbzczbbBOZbxYcS2EtKeNaT&#10;Ycoi6WOoJUuMbIP6K5RRPLjoZDrizlR9IwURdDEePcNm1TIvSi+AOvpH0OP/C8s/7m4DUQ2YMKXE&#10;MoOJ//7+89f9D4ILoNP5OIPTyt+GQYsQc6t7GUx+owmyL4jePSIq9olwXE4nJ6dnb48p4bCN8UyO&#10;C+bV0+c+xPReOEOyUNOAkRUk2e46JqSE64NLzmbdldK6jE1b0iHq5HSEaXIGLkpwAKLx6CfaDSVM&#10;b0BynkIJefBtDrlksSU7BmZEp1XTc8GoBHprZWp6NspPvkYN2uKVwejbz1Lar/cDJmvX3AHH4HqC&#10;Rc+vFDJcs5huWQCjUCF2Lt3gkNqhbDdIlLQufPvXffbHoGGlpANDUebXLQuCEv3BggLvxtNppnRR&#10;psenEyjh0LI+tNituXRodYzt9ryI2T/pB1EGZ75gNRc5K0zMcuTuwRuUy9RvDpabi8WiuIHGnqVr&#10;u/I8B+9HtNgmJ1WZXgaqR2fAD0QugA5LlzflUC9eTz+a+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oao0N2AAAAAoBAAAPAAAAAAAAAAEAIAAAACIAAABkcnMvZG93bnJldi54bWxQSwECFAAUAAAA&#10;CACHTuJAXP4vmmACAACwBAAADgAAAAAAAAABACAAAAAnAQAAZHJzL2Uyb0RvYy54bWxQSwUGAAAA&#10;AAYABgBZAQAA+Q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Arial" w:hAnsi="Arial" w:eastAsia="宋体" w:cs="Arial"/>
                          <w:i w:val="0"/>
                          <w:iCs w:val="0"/>
                          <w:caps w:val="0"/>
                          <w:color w:val="333333"/>
                          <w:spacing w:val="0"/>
                          <w:sz w:val="13"/>
                          <w:szCs w:val="13"/>
                          <w:shd w:val="clear" w:fill="FFFFFF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00000" w:themeColor="text1"/>
                          <w:sz w:val="28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创新犹如一座</w:t>
                      </w:r>
                      <w:r>
                        <w:rPr>
                          <w:rFonts w:hint="default" w:ascii="微软雅黑" w:hAnsi="微软雅黑" w:eastAsia="微软雅黑"/>
                          <w:color w:val="000000" w:themeColor="text1"/>
                          <w:sz w:val="28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围城，有的人想进去，但有的人想出去。</w:t>
                      </w:r>
                    </w:p>
                    <w:p>
                      <w:pPr>
                        <w:jc w:val="left"/>
                        <w:rPr>
                          <w:rFonts w:hint="default" w:ascii="微软雅黑" w:hAnsi="微软雅黑" w:eastAsia="微软雅黑"/>
                          <w:color w:val="000000" w:themeColor="text1"/>
                          <w:sz w:val="28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00000" w:themeColor="text1"/>
                          <w:sz w:val="28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——创新</w:t>
                      </w:r>
                      <w:r>
                        <w:rPr>
                          <w:rFonts w:hint="eastAsia" w:ascii="微软雅黑" w:hAnsi="微软雅黑" w:eastAsia="微软雅黑"/>
                          <w:color w:val="000000" w:themeColor="text1"/>
                          <w:sz w:val="28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者的窘境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</w:pPr>
      <w:r>
        <w:drawing>
          <wp:inline distT="0" distB="0" distL="114300" distR="114300">
            <wp:extent cx="5741670" cy="2122805"/>
            <wp:effectExtent l="0" t="0" r="11430" b="10795"/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1670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如何</w:t>
      </w:r>
      <w:r>
        <w:rPr>
          <w:rFonts w:hint="eastAsia" w:ascii="微软雅黑" w:hAnsi="微软雅黑" w:eastAsia="微软雅黑" w:cs="阿里巴巴普惠体 R"/>
          <w:szCs w:val="21"/>
        </w:rPr>
        <w:t>在资源有限的情况下：压成本、增产量、提速度、升质量……？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如何</w:t>
      </w:r>
      <w:r>
        <w:rPr>
          <w:rFonts w:hint="eastAsia" w:ascii="微软雅黑" w:hAnsi="微软雅黑" w:eastAsia="微软雅黑" w:cs="阿里巴巴普惠体 R"/>
          <w:szCs w:val="21"/>
        </w:rPr>
        <w:t>快速抓住问题的本质和重点，精准、有效的解决？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如何</w:t>
      </w:r>
      <w:r>
        <w:rPr>
          <w:rFonts w:hint="eastAsia" w:ascii="微软雅黑" w:hAnsi="微软雅黑" w:eastAsia="微软雅黑" w:cs="阿里巴巴普惠体 R"/>
          <w:szCs w:val="21"/>
        </w:rPr>
        <w:t>在一次课程中就能激发员工创意解决当下企业面临的难题？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阿里巴巴普惠体 R"/>
          <w:szCs w:val="21"/>
        </w:rPr>
      </w:pPr>
    </w:p>
    <w:p>
      <w:pPr>
        <w:rPr>
          <w:rFonts w:ascii="微软雅黑" w:hAnsi="微软雅黑" w:eastAsia="微软雅黑"/>
          <w:sz w:val="6"/>
          <w:szCs w:val="8"/>
        </w:rPr>
      </w:pPr>
    </w:p>
    <w:p>
      <w:pPr>
        <w:rPr>
          <w:rFonts w:hint="eastAsia" w:ascii="微软雅黑" w:hAnsi="微软雅黑" w:eastAsia="微软雅黑" w:cs="阿里巴巴普惠体 R"/>
          <w:color w:val="BF5709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创新，企业基业长青之本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  <w:lang w:eastAsia="zh-CN"/>
        </w:rPr>
        <w:t>；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  <w:lang w:val="en-US" w:eastAsia="zh-CN"/>
        </w:rPr>
        <w:t>《创新围城》，培训课程创新之巅。</w:t>
      </w:r>
    </w:p>
    <w:p>
      <w:pPr>
        <w:rPr>
          <w:rFonts w:hint="default" w:ascii="微软雅黑" w:hAnsi="微软雅黑" w:eastAsia="微软雅黑" w:cs="阿里巴巴普惠体 R"/>
          <w:color w:val="BF5709"/>
          <w:sz w:val="28"/>
          <w:szCs w:val="28"/>
          <w:lang w:val="en-US" w:eastAsia="zh-CN"/>
        </w:rPr>
      </w:pPr>
    </w:p>
    <w:p>
      <w:pPr>
        <w:rPr>
          <w:rFonts w:ascii="微软雅黑" w:hAnsi="微软雅黑" w:eastAsia="微软雅黑" w:cs="阿里巴巴普惠体 R"/>
          <w:color w:val="BF5709"/>
          <w:sz w:val="4"/>
          <w:szCs w:val="4"/>
        </w:rPr>
      </w:pP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要注重创新驱动发展，紧紧扭住创新这个牛鼻子，强化创新体系和创新能力建设，推动科技创新和经济社会发展深度融合，塑造更多依靠创新驱动、更多发挥先发优势的引领型发展。</w:t>
      </w:r>
    </w:p>
    <w:p>
      <w:pPr>
        <w:ind w:firstLine="7232" w:firstLineChars="3200"/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——习近平主席</w:t>
      </w:r>
    </w:p>
    <w:p>
      <w:pPr>
        <w:ind w:firstLine="7232" w:firstLineChars="3200"/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</w:pPr>
    </w:p>
    <w:p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或者创新，或者消亡。尤其是在技术推动型产业，再也没有比成功消失得更快的了。</w:t>
      </w:r>
    </w:p>
    <w:p>
      <w:pPr>
        <w:ind w:firstLine="5250" w:firstLineChars="2500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</w:rPr>
        <w:t>——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《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时代周刊》总编比尔·萨波里托</w:t>
      </w:r>
    </w:p>
    <w:p>
      <w:pP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</w:pP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《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  <w:lang w:eastAsia="zh-CN"/>
        </w:rPr>
        <w:t>创新围城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》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  <w:lang w:val="en-US" w:eastAsia="zh-CN"/>
        </w:rPr>
        <w:t>桌游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课程，给挣扎在创新荒时代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  <w:lang w:val="en-US" w:eastAsia="zh-CN"/>
        </w:rPr>
        <w:t>企业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的启示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  <w:lang w:val="en-US" w:eastAsia="zh-CN"/>
        </w:rPr>
        <w:t>合力</w:t>
      </w:r>
      <w:r>
        <w:rPr>
          <w:rFonts w:hint="eastAsia" w:ascii="微软雅黑" w:hAnsi="微软雅黑" w:eastAsia="微软雅黑" w:cs="阿里巴巴普惠体 R"/>
          <w:color w:val="BF5709"/>
          <w:sz w:val="28"/>
          <w:szCs w:val="28"/>
        </w:rPr>
        <w:t>跑赢时代</w:t>
      </w:r>
    </w:p>
    <w:p>
      <w:pPr>
        <w:spacing w:line="0" w:lineRule="atLeast"/>
        <w:jc w:val="left"/>
        <w:rPr>
          <w:rFonts w:hint="default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人们害怕创新是因为其不确定性：你怎么知道你会成功还是失败？创新围城桌游版权课程以一种有趣的方式模拟了创新过程中的混乱：卡牌的随机性、骰子的掷出或者其他玩家的突袭。太多事情不在你的掌握之中，但你永远可以控制的是你的技能：宏观战略力、围观操盘力以及起死回生的创造力。创新围城旨在培养的恰恰是这些核心技能。鼓励学员从每一张牌中创造可能性，突破围城！</w:t>
      </w:r>
    </w:p>
    <w:p>
      <w:pPr>
        <w:ind w:firstLine="7232" w:firstLineChars="3200"/>
        <w:jc w:val="right"/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——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研发团队</w:t>
      </w:r>
    </w:p>
    <w:p>
      <w:pPr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这是研修院迄今为止最精彩、最感人的项目。让参与者人人都能有收获、人人都能有突破。</w:t>
      </w:r>
    </w:p>
    <w:p>
      <w:pPr>
        <w:spacing w:line="0" w:lineRule="atLeast"/>
        <w:ind w:firstLine="5198" w:firstLineChars="2300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 xml:space="preserve">——中国银行总行党委书记课后感言 </w:t>
      </w:r>
    </w:p>
    <w:p>
      <w:pPr>
        <w:spacing w:line="0" w:lineRule="atLeast"/>
        <w:ind w:firstLine="5198" w:firstLineChars="2300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实：从课题到内容，务实且接地气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新：紧贴业务需求，形式丰富多彩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全：从业务到管理，点线面有融合</w:t>
      </w:r>
    </w:p>
    <w:p>
      <w:pPr>
        <w:spacing w:line="0" w:lineRule="atLeast"/>
        <w:ind w:firstLine="6102" w:firstLineChars="2700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——深圳水务领导课后评价</w:t>
      </w:r>
    </w:p>
    <w:p>
      <w:pPr>
        <w:spacing w:line="0" w:lineRule="atLeast"/>
        <w:ind w:firstLine="6102" w:firstLineChars="2700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</w:p>
    <w:p>
      <w:pPr>
        <w:spacing w:line="0" w:lineRule="atLeas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结构严谨、循序渐进、实用落地，创新解决问题是每一个可口可乐管理者都必须掌握的一项能力。</w:t>
      </w:r>
    </w:p>
    <w:p>
      <w:pPr>
        <w:ind w:firstLine="6102" w:firstLineChars="2700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——可口可乐人力资源总监</w:t>
      </w:r>
    </w:p>
    <w:p>
      <w:pPr>
        <w:spacing w:line="0" w:lineRule="atLeast"/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学员对象：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找寻创新战略的中高层管理者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企业创新项目、试验项目的技术骨干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需要转型或持续开发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/升级产品的产品经理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需要解决多重问题，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不断创新改进的各部门负责人</w:t>
      </w:r>
    </w:p>
    <w:p>
      <w:pPr>
        <w:spacing w:line="0" w:lineRule="atLeast"/>
        <w:jc w:val="left"/>
        <w:rPr>
          <w:rFonts w:ascii="微软雅黑" w:hAnsi="微软雅黑" w:eastAsia="微软雅黑"/>
          <w:b/>
          <w:bCs/>
          <w:color w:val="222222"/>
          <w:spacing w:val="8"/>
          <w:sz w:val="6"/>
          <w:szCs w:val="8"/>
          <w:shd w:val="clear" w:color="auto" w:fill="FFFFFF"/>
        </w:rPr>
      </w:pPr>
    </w:p>
    <w:p>
      <w:pPr>
        <w:spacing w:line="0" w:lineRule="atLeast"/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课程收益：</w:t>
      </w:r>
    </w:p>
    <w:p>
      <w:pPr>
        <w:pStyle w:val="13"/>
        <w:numPr>
          <w:ilvl w:val="0"/>
          <w:numId w:val="1"/>
        </w:numPr>
        <w:spacing w:line="0" w:lineRule="atLeast"/>
        <w:ind w:firstLineChars="0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</w:rPr>
        <w:t>对组织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：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降本增效：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建立团队创新的流程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、创新方法，创新工作模式改变思维，创造成果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形象提升：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带给用户更走心的产品和服务，增加与客户及合作伙伴的粘性</w:t>
      </w:r>
    </w:p>
    <w:p>
      <w:pPr>
        <w:pStyle w:val="13"/>
        <w:numPr>
          <w:ilvl w:val="0"/>
          <w:numId w:val="1"/>
        </w:numPr>
        <w:spacing w:line="0" w:lineRule="atLeast"/>
        <w:ind w:firstLineChars="0"/>
        <w:jc w:val="left"/>
        <w:rPr>
          <w:rFonts w:ascii="微软雅黑" w:hAnsi="微软雅黑" w:eastAsia="微软雅黑"/>
          <w:b/>
          <w:bCs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</w:rPr>
        <w:t>对个人：</w:t>
      </w:r>
    </w:p>
    <w:p>
      <w:pPr>
        <w:spacing w:line="0" w:lineRule="atLeast"/>
        <w:jc w:val="left"/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能力提升：在多变环境中，能独立思考，快速找到解决方案</w:t>
      </w:r>
    </w:p>
    <w:p>
      <w:pPr>
        <w:jc w:val="left"/>
        <w:rPr>
          <w:rFonts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课程时间：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1-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2天</w:t>
      </w:r>
    </w:p>
    <w:p>
      <w:pPr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教学方式：</w:t>
      </w:r>
    </w:p>
    <w:p>
      <w:pPr>
        <w:ind w:firstLine="196" w:firstLineChars="100"/>
        <w:jc w:val="left"/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</w:pPr>
      <w:r>
        <w:rPr>
          <w:rFonts w:hint="default" w:ascii="微软雅黑" w:hAnsi="微软雅黑" w:eastAsia="微软雅黑"/>
          <w:color w:val="222222"/>
          <w:spacing w:val="8"/>
          <w:sz w:val="18"/>
          <w:szCs w:val="20"/>
          <w:shd w:val="clear" w:color="auto" w:fill="FFFFFF"/>
          <w:lang w:val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241300</wp:posOffset>
            </wp:positionV>
            <wp:extent cx="3235960" cy="471805"/>
            <wp:effectExtent l="0" t="0" r="2540" b="4445"/>
            <wp:wrapTight wrapText="bothSides">
              <wp:wrapPolygon>
                <wp:start x="0" y="0"/>
                <wp:lineTo x="0" y="20931"/>
                <wp:lineTo x="21490" y="20931"/>
                <wp:lineTo x="21490" y="0"/>
                <wp:lineTo x="0" y="0"/>
              </wp:wrapPolygon>
            </wp:wrapTight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231" cy="475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222222"/>
          <w:spacing w:val="8"/>
          <w:sz w:val="18"/>
          <w:szCs w:val="20"/>
          <w:shd w:val="clear" w:color="auto" w:fill="FFFFFF"/>
          <w:lang w:val="en-US" w:eastAsia="zh-CN"/>
        </w:rPr>
        <w:t>桌游卡牌</w:t>
      </w:r>
      <w:r>
        <w:rPr>
          <w:rFonts w:hint="eastAsia"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  <w:t xml:space="preserve"> </w:t>
      </w:r>
      <w:r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  <w:t xml:space="preserve">   </w:t>
      </w:r>
      <w:r>
        <w:rPr>
          <w:rFonts w:hint="eastAsia"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  <w:t xml:space="preserve">案例分析 </w:t>
      </w:r>
      <w:r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  <w:t xml:space="preserve">   </w:t>
      </w:r>
      <w:r>
        <w:rPr>
          <w:rFonts w:hint="eastAsia"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  <w:t xml:space="preserve">小组研讨 </w:t>
      </w:r>
      <w:r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  <w:t xml:space="preserve">    </w:t>
      </w:r>
      <w:r>
        <w:rPr>
          <w:rFonts w:hint="eastAsia"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  <w:t>实操练习</w:t>
      </w:r>
    </w:p>
    <w:p>
      <w:pPr>
        <w:ind w:firstLine="196" w:firstLineChars="100"/>
        <w:jc w:val="left"/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</w:pPr>
    </w:p>
    <w:p>
      <w:pPr>
        <w:ind w:firstLine="196" w:firstLineChars="100"/>
        <w:jc w:val="left"/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</w:pPr>
    </w:p>
    <w:p>
      <w:pPr>
        <w:ind w:firstLine="196" w:firstLineChars="100"/>
        <w:jc w:val="left"/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</w:pPr>
      <w:r>
        <w:rPr>
          <w:rFonts w:ascii="微软雅黑" w:hAnsi="微软雅黑" w:eastAsia="微软雅黑"/>
          <w:color w:val="222222"/>
          <w:spacing w:val="8"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88265</wp:posOffset>
                </wp:positionV>
                <wp:extent cx="3164205" cy="301625"/>
                <wp:effectExtent l="0" t="0" r="0" b="3175"/>
                <wp:wrapTight wrapText="bothSides">
                  <wp:wrapPolygon>
                    <wp:start x="390" y="0"/>
                    <wp:lineTo x="390" y="20463"/>
                    <wp:lineTo x="21067" y="20463"/>
                    <wp:lineTo x="21067" y="0"/>
                    <wp:lineTo x="390" y="0"/>
                  </wp:wrapPolygon>
                </wp:wrapTight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420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222222"/>
                                <w:spacing w:val="8"/>
                                <w:sz w:val="15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22222"/>
                                <w:spacing w:val="8"/>
                                <w:sz w:val="15"/>
                                <w:szCs w:val="16"/>
                                <w:shd w:val="clear" w:color="auto" w:fill="FFFFFF"/>
                              </w:rPr>
                              <w:t>一个场景  一种理念  一套工具 一项能力 一轮练习 一阶成果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2.6pt;margin-top:6.95pt;height:23.75pt;width:249.15pt;mso-position-horizontal-relative:page;mso-wrap-distance-left:9pt;mso-wrap-distance-right:9pt;z-index:-251652096;v-text-anchor:middle;mso-width-relative:page;mso-height-relative:page;" filled="f" stroked="f" coordsize="21600,21600" wrapcoords="390 0 390 20463 21067 20463 21067 0 390 0" o:gfxdata="UEsDBAoAAAAAAIdO4kAAAAAAAAAAAAAAAAAEAAAAZHJzL1BLAwQUAAAACACHTuJAgX1rndcAAAAJ&#10;AQAADwAAAGRycy9kb3ducmV2LnhtbE2PwU7DMBBE70j8g7VI3KiTlkZtGqcSSAihHhAF7o69TSLi&#10;dRQ7Sfv3LCd6m9E+zc4U+7PrxIRDaD0pSBcJCCTjbUu1gq/Pl4cNiBA1Wd15QgUXDLAvb28KnVs/&#10;0wdOx1gLDqGQawVNjH0uZTANOh0Wvkfi28kPTke2Qy3toGcOd51cJkkmnW6JPzS6x+cGzc9xdAq+&#10;/elpdqait+ny3o6vh8GYzUGp+7s02YGIeI7/MPzV5+pQcqfKj2SD6Nhn6yWjLFZbEAxk2WoNomKR&#10;PoIsC3m9oPwFUEsDBBQAAAAIAIdO4kCCOUJXYAIAAK0EAAAOAAAAZHJzL2Uyb0RvYy54bWytVEtu&#10;2zAQ3RfoHQjuG8mK86kROTBipCgQNAHcomuaIi0C/JWkLaeXKdBdD9HjFL1GHyUlMdIusqgX8pAz&#10;ejPz5o0uLvdGk50IUTlb08lRSYmw3DXKbmr66eP1m3NKYmK2YdpZUdN7Eenl/PWri87PROVapxsR&#10;CEBsnHW+pm1KflYUkbfCsHjkvLBwShcMSziGTdEE1gHd6KIqy9Oic6HxwXERI26Xg5OOiOElgE5K&#10;xcXS8a0RNg2oQWiW0FJslY903lcrpeDpVsooEtE1RaepfyIJ7HV+FvMLNtsE5lvFxxLYS0p41pNh&#10;yiLpI9SSJUa2Qf0FZRQPLjqZjrgzxdBIzwi6mJTPuFm1zIu+F1Ad/SPp8f/B8g+7u0BUU9OKEssM&#10;Bv77249fP7+TKnPT+ThDyMrfhfEUYeZG9zKY/I8WyL7n8/6RT7FPhOPyeHI6rcoTSjh8x+XktDrJ&#10;oMXT2z7E9E44Q7JR04B59TSy3U1MQ+hDSE5m3bXSGvdspi3pIN/qrMQoOYMQJQQA03g0E+2GEqY3&#10;UDhPoYc8eDdDLllsyY5BFtFp1QxCMCpB21qZmp6X+TeWqy2qzlwM3Wcr7df7kZK1a+5BYnCDuqLn&#10;1woZblhMdyxATqgQC5du8ZDaoWw3WpS0Lnz9132Ox5ThpaSDPFHmly0LghL93mL+byfTadZzf5ie&#10;nFU4hEPP+tBjt+bKodUJVtvz3szxST+YMjjzGXu5yFnhYpYj90DeeLhKw9pgs7lYLPowaNizdGNX&#10;nmfwYUSLbXJS9dPLRA3sjPxBxf38x43La3J47qOevjLz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IF9a53XAAAACQEAAA8AAAAAAAAAAQAgAAAAIgAAAGRycy9kb3ducmV2LnhtbFBLAQIUABQAAAAI&#10;AIdO4kCCOUJXYAIAAK0EAAAOAAAAAAAAAAEAIAAAACYBAABkcnMvZTJvRG9jLnhtbFBLBQYAAAAA&#10;BgAGAFkBAAD4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222222"/>
                          <w:spacing w:val="8"/>
                          <w:sz w:val="15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22222"/>
                          <w:spacing w:val="8"/>
                          <w:sz w:val="15"/>
                          <w:szCs w:val="16"/>
                          <w:shd w:val="clear" w:color="auto" w:fill="FFFFFF"/>
                        </w:rPr>
                        <w:t>一个场景  一种理念  一套工具 一项能力 一轮练习 一阶成果</w:t>
                      </w:r>
                    </w:p>
                    <w:p>
                      <w:pPr>
                        <w:jc w:val="center"/>
                        <w:rPr>
                          <w:sz w:val="20"/>
                          <w:szCs w:val="21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>
      <w:pPr>
        <w:jc w:val="left"/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</w:pPr>
    </w:p>
    <w:p>
      <w:pPr>
        <w:spacing w:line="0" w:lineRule="atLeast"/>
        <w:jc w:val="left"/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</w:rPr>
        <w:t>【课前学习】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思维导图（工具：微信链接，课前阅读）</w:t>
      </w:r>
    </w:p>
    <w:p>
      <w:pPr>
        <w:spacing w:line="0" w:lineRule="atLeast"/>
        <w:jc w:val="left"/>
        <w:rPr>
          <w:rFonts w:hint="default" w:ascii="微软雅黑" w:hAnsi="微软雅黑" w:eastAsia="微软雅黑"/>
          <w:color w:val="222222"/>
          <w:spacing w:val="8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</w:rPr>
        <w:t>【课</w:t>
      </w: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  <w:lang w:val="en-US" w:eastAsia="zh-CN"/>
        </w:rPr>
        <w:t>中体验</w:t>
      </w: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</w:rPr>
        <w:t>】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通过上千种组合激发灵感，帮助促进伙伴之间的交流、共创未来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创新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模式，寻找潜在的创新机会。</w:t>
      </w:r>
      <w:r>
        <w:rPr>
          <w:rFonts w:hint="default" w:ascii="微软雅黑" w:hAnsi="微软雅黑" w:eastAsia="微软雅黑"/>
          <w:color w:val="222222"/>
          <w:spacing w:val="8"/>
          <w:shd w:val="clear" w:color="auto" w:fill="FFFFFF"/>
        </w:rPr>
        <w:t>它由四种不同卡牌类型简单易懂描绘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创新</w:t>
      </w:r>
      <w:r>
        <w:rPr>
          <w:rFonts w:hint="default" w:ascii="微软雅黑" w:hAnsi="微软雅黑" w:eastAsia="微软雅黑"/>
          <w:color w:val="222222"/>
          <w:spacing w:val="8"/>
          <w:shd w:val="clear" w:color="auto" w:fill="FFFFFF"/>
        </w:rPr>
        <w:t>模式。</w:t>
      </w:r>
    </w:p>
    <w:p>
      <w:pPr>
        <w:spacing w:line="0" w:lineRule="atLeast"/>
        <w:jc w:val="left"/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红色用户卡：</w:t>
      </w:r>
      <w:r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你的业务要服务的目标对象。</w:t>
      </w:r>
    </w:p>
    <w:p>
      <w:pPr>
        <w:spacing w:line="0" w:lineRule="atLeast"/>
        <w:jc w:val="left"/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绿色功能卡：你提供给目标对象的某种产品/服务或者技术。</w:t>
      </w:r>
    </w:p>
    <w:p>
      <w:pPr>
        <w:spacing w:line="0" w:lineRule="atLeast"/>
        <w:jc w:val="left"/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蓝色资源卡：区别于同样目标市场的企业，你的独特优势是什么。</w:t>
      </w:r>
    </w:p>
    <w:p>
      <w:pPr>
        <w:spacing w:line="0" w:lineRule="atLeast"/>
        <w:jc w:val="left"/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default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黄色挑战卡：模拟真实商业场景中你的业务可能遇到的挑战，人力、财务、法律等问题。</w:t>
      </w:r>
    </w:p>
    <w:p>
      <w:pPr>
        <w:spacing w:line="0" w:lineRule="atLeast"/>
        <w:jc w:val="left"/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  <w:lang w:val="en-US" w:eastAsia="zh-CN"/>
        </w:rPr>
        <w:t>其他教具：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沙漏（计时器，1分钟为单位）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骰子（每位玩家一个，代表创新过程中的不确定要素）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色块（每位玩家一个，以不同颜色代表）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一张按用户数量划分的影响力路线图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概念阶段为100人以下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初创企业为1000以下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小型企业为1万用户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中型企业为10万用户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世界型企业为100万用户</w:t>
      </w:r>
    </w:p>
    <w:p>
      <w:pPr>
        <w:spacing w:line="0" w:lineRule="atLeast"/>
        <w:jc w:val="left"/>
        <w:rPr>
          <w:rFonts w:ascii="微软雅黑" w:hAnsi="微软雅黑" w:eastAsia="微软雅黑"/>
          <w:color w:val="222222"/>
          <w:spacing w:val="8"/>
          <w:sz w:val="18"/>
          <w:szCs w:val="20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</w:rPr>
        <w:t>【课后巩固】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每个小组提交课题汇报P</w:t>
      </w:r>
      <w:r>
        <w:rPr>
          <w:rFonts w:ascii="微软雅黑" w:hAnsi="微软雅黑" w:eastAsia="微软雅黑"/>
          <w:color w:val="222222"/>
          <w:spacing w:val="8"/>
          <w:shd w:val="clear" w:color="auto" w:fill="FFFFFF"/>
        </w:rPr>
        <w:t>PT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（含挖掘、解决与计划模块）+微信群答疑</w:t>
      </w:r>
    </w:p>
    <w:p>
      <w:pPr>
        <w:jc w:val="left"/>
        <w:rPr>
          <w:rStyle w:val="9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课程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进度流程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第一轮：每人抽取三张资源卡，自由组合，讲出创业idea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演示想法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A用1分钟的时间向B、C、D展示。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br w:type="textWrapping"/>
      </w: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获得反馈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1分钟的QA，另外三人提问，并决定是否被说服。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移动小方块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A投掷自己所有收集到的骰子，按照点数在路线图上。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第二轮：每人抽取3张挑战卡，为对手设置障碍</w:t>
      </w:r>
    </w:p>
    <w:p>
      <w:pPr>
        <w:spacing w:line="0" w:lineRule="atLeast"/>
        <w:jc w:val="left"/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挑战别人的想法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B选择一张挑战卡，发给A、C、D任何一人，挑战ta的idea，对手有1分钟的时间回应。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br w:type="textWrapping"/>
      </w: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获得评价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重复1分钟的QA，之后其他三人决定这个人是否需要倒退或留在原地。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br w:type="textWrapping"/>
      </w: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移动小方块</w:t>
      </w:r>
      <w:r>
        <w:rPr>
          <w:rFonts w:hint="eastAsia" w:ascii="微软雅黑" w:hAnsi="微软雅黑" w:eastAsia="微软雅黑" w:cstheme="minorBidi"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被挑战者根据大家的决定，在露西拿图赏移动小方块。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theme="minorBidi"/>
          <w:b/>
          <w:bCs/>
          <w:color w:val="222222"/>
          <w:spacing w:val="8"/>
          <w:kern w:val="2"/>
          <w:sz w:val="21"/>
          <w:szCs w:val="22"/>
          <w:shd w:val="clear" w:color="auto" w:fill="FFFFFF"/>
          <w:lang w:val="en-US" w:eastAsia="zh-CN" w:bidi="ar-SA"/>
        </w:rPr>
        <w:t>第三轮：重复，直到某一玩家达到100万用户级别</w:t>
      </w:r>
    </w:p>
    <w:p>
      <w:pPr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每轮重复以下八步——即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课程底层逻辑：</w:t>
      </w:r>
    </w:p>
    <w:tbl>
      <w:tblPr>
        <w:tblStyle w:val="7"/>
        <w:tblW w:w="89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23"/>
        <w:gridCol w:w="2402"/>
        <w:gridCol w:w="1429"/>
        <w:gridCol w:w="1058"/>
        <w:gridCol w:w="2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学流程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练工具</w:t>
            </w:r>
          </w:p>
        </w:tc>
        <w:tc>
          <w:tcPr>
            <w:tcW w:w="1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化能力</w:t>
            </w:r>
          </w:p>
        </w:tc>
        <w:tc>
          <w:tcPr>
            <w:tcW w:w="2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出精品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val="en-US" w:eastAsia="zh-CN"/>
              </w:rPr>
              <w:t>国潮范儿的《创新围城》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版权课程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第一步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分析预测，掌握规律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未来雷达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机遇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力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未来雷达图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第二步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寻找契机，设定目标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契机表格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故事板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洞察力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《创新契机分析图》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故事板工具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第三步</w:t>
            </w:r>
          </w:p>
        </w:tc>
        <w:tc>
          <w:tcPr>
            <w:tcW w:w="2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目标锁定，分析需求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需求象限</w:t>
            </w:r>
          </w:p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顾客旅程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共情力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《相关人需求地图》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顾客旅程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》《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移情图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第四步</w:t>
            </w:r>
          </w:p>
        </w:tc>
        <w:tc>
          <w:tcPr>
            <w:tcW w:w="2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需求聚焦，激发创意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商业模式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画布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独创力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《商业模式创新地图》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五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步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举一反三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拓展创意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万能侠</w:t>
            </w:r>
          </w:p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WHAT IF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变通力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行为+矛盾矩阵图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六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步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创意决策，达成共识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决策矩阵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共识力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《价值评估矩阵》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《需求点共识方案》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第七步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共识落地，计划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实施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行为设计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行动力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《创新落地行动方案》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第八步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高效汇报，复盘成长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复盘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复盘力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复盘工具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》</w:t>
            </w:r>
          </w:p>
        </w:tc>
      </w:tr>
    </w:tbl>
    <w:p>
      <w:pPr>
        <w:spacing w:line="0" w:lineRule="atLeast"/>
        <w:jc w:val="left"/>
        <w:rPr>
          <w:rFonts w:ascii="微软雅黑" w:hAnsi="微软雅黑" w:eastAsia="微软雅黑"/>
          <w:b/>
          <w:bCs/>
          <w:color w:val="222222"/>
          <w:spacing w:val="8"/>
          <w:shd w:val="clear" w:color="auto" w:fill="FFFFFF"/>
        </w:rPr>
      </w:pPr>
    </w:p>
    <w:p>
      <w:pPr>
        <w:spacing w:line="0" w:lineRule="atLeast"/>
        <w:jc w:val="left"/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  <w:lang w:eastAsia="zh-CN"/>
        </w:rPr>
      </w:pPr>
      <w:r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  <w:lang w:eastAsia="zh-CN"/>
        </w:rPr>
        <w:drawing>
          <wp:inline distT="0" distB="0" distL="114300" distR="114300">
            <wp:extent cx="5666740" cy="3336290"/>
            <wp:effectExtent l="0" t="0" r="10160" b="3810"/>
            <wp:docPr id="5" name="图片 5" descr="1d87c64ae95a63958ba40999b7db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d87c64ae95a63958ba40999b7db2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6740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jc w:val="left"/>
        <w:rPr>
          <w:rFonts w:ascii="微软雅黑" w:hAnsi="微软雅黑" w:eastAsia="微软雅黑"/>
          <w:b/>
          <w:bCs/>
          <w:color w:val="222222"/>
          <w:spacing w:val="8"/>
          <w:shd w:val="clear" w:color="auto" w:fill="FFFFFF"/>
        </w:rPr>
      </w:pPr>
    </w:p>
    <w:p>
      <w:pPr>
        <w:jc w:val="left"/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教具解读：</w:t>
      </w:r>
    </w:p>
    <w:p>
      <w:pPr>
        <w:spacing w:line="0" w:lineRule="atLeast"/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九边，又称九镇、明朝九边，是明朝弘治年间在北部沿长城防线陆续设立的九个军事重镇。《皇明九边考》称其为“九边重镇”。</w:t>
      </w:r>
    </w:p>
    <w:p>
      <w:pPr>
        <w:spacing w:line="0" w:lineRule="atLeast"/>
        <w:rPr>
          <w:rFonts w:hint="default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限制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eastAsia="zh-CN"/>
        </w:rPr>
        <w:t>（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围城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eastAsia="zh-CN"/>
        </w:rPr>
        <w:t>）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</w:rPr>
        <w:t>无处不在，能否转化限制，是兴衰成败的关键。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eastAsia="zh-CN"/>
        </w:rPr>
        <w:t>（《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创新围城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eastAsia="zh-CN"/>
        </w:rPr>
        <w:t>》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版权教具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eastAsia="zh-CN"/>
        </w:rPr>
        <w:t>）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带大家穿越时空，在国潮范儿的沙盘上，引导各位将</w:t>
      </w:r>
      <w:r>
        <w:rPr>
          <w:rFonts w:hint="default" w:ascii="微软雅黑" w:hAnsi="微软雅黑" w:eastAsia="微软雅黑"/>
          <w:color w:val="222222"/>
          <w:spacing w:val="8"/>
          <w:shd w:val="clear" w:color="auto" w:fill="FFFFFF"/>
        </w:rPr>
        <w:t>限制转化为优势，</w:t>
      </w:r>
      <w:r>
        <w:rPr>
          <w:rFonts w:hint="eastAsia" w:ascii="微软雅黑" w:hAnsi="微软雅黑" w:eastAsia="微软雅黑"/>
          <w:color w:val="222222"/>
          <w:spacing w:val="8"/>
          <w:shd w:val="clear" w:color="auto" w:fill="FFFFFF"/>
          <w:lang w:val="en-US" w:eastAsia="zh-CN"/>
        </w:rPr>
        <w:t>突围九边，直捣黄龙。</w:t>
      </w:r>
    </w:p>
    <w:p>
      <w:pPr>
        <w:spacing w:line="0" w:lineRule="atLeast"/>
        <w:jc w:val="left"/>
        <w:rPr>
          <w:rFonts w:ascii="微软雅黑" w:hAnsi="微软雅黑" w:eastAsia="微软雅黑"/>
          <w:b/>
          <w:bCs/>
          <w:color w:val="222222"/>
          <w:spacing w:val="8"/>
          <w:shd w:val="clear" w:color="auto" w:fill="FFFFFF"/>
        </w:rPr>
      </w:pPr>
    </w:p>
    <w:p>
      <w:pPr>
        <w:spacing w:line="0" w:lineRule="atLeast"/>
        <w:jc w:val="left"/>
        <w:rPr>
          <w:rFonts w:hint="eastAsia" w:ascii="微软雅黑" w:hAnsi="微软雅黑" w:eastAsia="微软雅黑"/>
          <w:b/>
          <w:bCs/>
          <w:color w:val="222222"/>
          <w:spacing w:val="8"/>
          <w:shd w:val="clear" w:color="auto" w:fill="FFFFFF"/>
          <w:lang w:val="en-US" w:eastAsia="zh-CN"/>
        </w:rPr>
      </w:pPr>
    </w:p>
    <w:p>
      <w:pPr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课程大纲：</w:t>
      </w:r>
    </w:p>
    <w:p>
      <w:pPr>
        <w:spacing w:line="0" w:lineRule="atLeast"/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第一步：分析预测，掌握规律</w:t>
      </w:r>
    </w:p>
    <w:p>
      <w:pPr>
        <w:numPr>
          <w:ilvl w:val="0"/>
          <w:numId w:val="2"/>
        </w:numPr>
        <w:spacing w:line="0" w:lineRule="atLeast"/>
        <w:ind w:left="420" w:leftChars="0" w:hanging="420" w:firstLineChars="0"/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  <w:t>工具介绍</w:t>
      </w:r>
    </w:p>
    <w:p>
      <w:pPr>
        <w:numPr>
          <w:ilvl w:val="0"/>
          <w:numId w:val="2"/>
        </w:numPr>
        <w:spacing w:line="0" w:lineRule="atLeast"/>
        <w:ind w:left="420" w:leftChars="0" w:hanging="420" w:firstLineChars="0"/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  <w:t>使用阶段</w:t>
      </w:r>
    </w:p>
    <w:p>
      <w:pPr>
        <w:numPr>
          <w:ilvl w:val="0"/>
          <w:numId w:val="2"/>
        </w:numPr>
        <w:spacing w:line="0" w:lineRule="atLeast"/>
        <w:ind w:left="420" w:leftChars="0" w:hanging="420" w:firstLineChars="0"/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  <w:t>使用步骤</w:t>
      </w:r>
    </w:p>
    <w:p>
      <w:pPr>
        <w:pStyle w:val="13"/>
        <w:numPr>
          <w:ilvl w:val="0"/>
          <w:numId w:val="3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1. 资料收集</w:t>
      </w:r>
    </w:p>
    <w:p>
      <w:pPr>
        <w:pStyle w:val="13"/>
        <w:numPr>
          <w:ilvl w:val="0"/>
          <w:numId w:val="3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2. 分类资料</w:t>
      </w:r>
    </w:p>
    <w:p>
      <w:pPr>
        <w:pStyle w:val="13"/>
        <w:numPr>
          <w:ilvl w:val="0"/>
          <w:numId w:val="3"/>
        </w:numPr>
        <w:spacing w:line="0" w:lineRule="atLeast"/>
        <w:ind w:firstLineChars="0"/>
        <w:rPr>
          <w:rFonts w:hint="eastAsia" w:ascii="微软雅黑" w:hAnsi="微软雅黑" w:eastAsia="微软雅黑" w:cs="宋体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阿里巴巴普惠体 R"/>
          <w:szCs w:val="21"/>
        </w:rPr>
        <w:t>3. 分析资料</w:t>
      </w:r>
    </w:p>
    <w:p>
      <w:pPr>
        <w:spacing w:line="0" w:lineRule="atLeas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成果产出：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《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未来雷达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图》</w:t>
      </w:r>
    </w:p>
    <w:p>
      <w:pPr>
        <w:spacing w:line="0" w:lineRule="atLeast"/>
        <w:rPr>
          <w:rFonts w:hint="eastAsia" w:ascii="微软雅黑" w:hAnsi="微软雅黑" w:eastAsia="微软雅黑" w:cs="宋体"/>
          <w:color w:val="000000"/>
          <w:kern w:val="0"/>
          <w:sz w:val="18"/>
          <w:szCs w:val="18"/>
          <w:lang w:val="en-US" w:eastAsia="zh-CN"/>
        </w:rPr>
      </w:pP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color w:val="FF0000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第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 xml:space="preserve">步：寻找契机，设定目标 </w:t>
      </w:r>
      <w:r>
        <w:rPr>
          <w:rFonts w:ascii="微软雅黑" w:hAnsi="微软雅黑" w:eastAsia="微软雅黑" w:cs="阿里巴巴普惠体 R"/>
          <w:b/>
          <w:bCs/>
          <w:szCs w:val="21"/>
        </w:rPr>
        <w:t xml:space="preserve">  </w:t>
      </w:r>
    </w:p>
    <w:p>
      <w:pPr>
        <w:pStyle w:val="13"/>
        <w:numPr>
          <w:ilvl w:val="0"/>
          <w:numId w:val="4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从“我习惯了”到“可以更好”</w:t>
      </w:r>
    </w:p>
    <w:p>
      <w:pPr>
        <w:pStyle w:val="13"/>
        <w:numPr>
          <w:ilvl w:val="0"/>
          <w:numId w:val="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做事 V</w:t>
      </w:r>
      <w:r>
        <w:rPr>
          <w:rFonts w:ascii="微软雅黑" w:hAnsi="微软雅黑" w:eastAsia="微软雅黑" w:cs="阿里巴巴普惠体 R"/>
          <w:szCs w:val="21"/>
        </w:rPr>
        <w:t>.S.</w:t>
      </w:r>
      <w:r>
        <w:rPr>
          <w:rFonts w:hint="eastAsia" w:ascii="微软雅黑" w:hAnsi="微软雅黑" w:eastAsia="微软雅黑" w:cs="阿里巴巴普惠体 R"/>
          <w:szCs w:val="21"/>
        </w:rPr>
        <w:t>做成事</w:t>
      </w:r>
    </w:p>
    <w:p>
      <w:pPr>
        <w:pStyle w:val="13"/>
        <w:numPr>
          <w:ilvl w:val="0"/>
          <w:numId w:val="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破解限制性信念</w:t>
      </w:r>
    </w:p>
    <w:p>
      <w:pPr>
        <w:pStyle w:val="13"/>
        <w:spacing w:line="0" w:lineRule="atLeast"/>
        <w:ind w:left="420" w:firstLine="0" w:firstLineChars="0"/>
        <w:rPr>
          <w:rFonts w:ascii="微软雅黑" w:hAnsi="微软雅黑" w:eastAsia="微软雅黑" w:cs="阿里巴巴普惠体 R"/>
          <w:szCs w:val="21"/>
        </w:rPr>
      </w:pPr>
    </w:p>
    <w:p>
      <w:pPr>
        <w:pStyle w:val="13"/>
        <w:numPr>
          <w:ilvl w:val="0"/>
          <w:numId w:val="4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从“熟视无睹”到“把握机会”</w:t>
      </w:r>
    </w:p>
    <w:p>
      <w:pPr>
        <w:pStyle w:val="13"/>
        <w:numPr>
          <w:ilvl w:val="0"/>
          <w:numId w:val="6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利用资源：资源盘点</w:t>
      </w:r>
    </w:p>
    <w:p>
      <w:pPr>
        <w:pStyle w:val="13"/>
        <w:numPr>
          <w:ilvl w:val="0"/>
          <w:numId w:val="6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把握机会：机会收集</w:t>
      </w:r>
    </w:p>
    <w:p>
      <w:pPr>
        <w:pStyle w:val="13"/>
        <w:numPr>
          <w:ilvl w:val="0"/>
          <w:numId w:val="6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解决问题：设定目标</w:t>
      </w: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从“问题思维“到“目标思维”</w:t>
      </w:r>
    </w:p>
    <w:p>
      <w:pPr>
        <w:pStyle w:val="13"/>
        <w:numPr>
          <w:ilvl w:val="0"/>
          <w:numId w:val="8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yes，and</w:t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13"/>
        <w:numPr>
          <w:ilvl w:val="0"/>
          <w:numId w:val="8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目标设定三原则</w:t>
      </w:r>
    </w:p>
    <w:p>
      <w:pPr>
        <w:spacing w:line="0" w:lineRule="atLeas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成果产出：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《创新契机分析图》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  <w:t>、《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故事板工具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  <w:t>》</w:t>
      </w: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第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三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 xml:space="preserve">步、目标锁定，分析需求 </w:t>
      </w:r>
      <w:r>
        <w:rPr>
          <w:rFonts w:ascii="微软雅黑" w:hAnsi="微软雅黑" w:eastAsia="微软雅黑" w:cs="阿里巴巴普惠体 R"/>
          <w:b/>
          <w:bCs/>
          <w:szCs w:val="21"/>
        </w:rPr>
        <w:t xml:space="preserve">    </w:t>
      </w: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从“无从下手”到“聚焦重点”</w:t>
      </w:r>
    </w:p>
    <w:p>
      <w:pPr>
        <w:pStyle w:val="13"/>
        <w:numPr>
          <w:ilvl w:val="0"/>
          <w:numId w:val="9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分析很难理解，分解比较容易</w:t>
      </w:r>
    </w:p>
    <w:p>
      <w:pPr>
        <w:pStyle w:val="13"/>
        <w:numPr>
          <w:ilvl w:val="0"/>
          <w:numId w:val="9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借助经典框架，用套路助分解</w:t>
      </w:r>
    </w:p>
    <w:p>
      <w:pPr>
        <w:spacing w:line="0" w:lineRule="atLeast"/>
        <w:rPr>
          <w:rFonts w:ascii="微软雅黑" w:hAnsi="微软雅黑" w:eastAsia="微软雅黑" w:cs="阿里巴巴普惠体 R"/>
          <w:szCs w:val="21"/>
        </w:rPr>
      </w:pP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从“单打独斗”到“众擎易举”</w:t>
      </w:r>
    </w:p>
    <w:p>
      <w:pPr>
        <w:pStyle w:val="13"/>
        <w:numPr>
          <w:ilvl w:val="0"/>
          <w:numId w:val="3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盘点已经存在的利益相关人</w:t>
      </w:r>
    </w:p>
    <w:p>
      <w:pPr>
        <w:pStyle w:val="13"/>
        <w:numPr>
          <w:ilvl w:val="0"/>
          <w:numId w:val="3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挖掘需要争取的潜在利益相关人</w:t>
      </w: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从“面面俱到”到“深度链接”</w:t>
      </w:r>
    </w:p>
    <w:p>
      <w:pPr>
        <w:pStyle w:val="13"/>
        <w:numPr>
          <w:ilvl w:val="0"/>
          <w:numId w:val="10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挖掘利益相关人的需求</w:t>
      </w:r>
    </w:p>
    <w:p>
      <w:pPr>
        <w:pStyle w:val="13"/>
        <w:numPr>
          <w:ilvl w:val="0"/>
          <w:numId w:val="10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聚焦关键相关人的关键需求</w:t>
      </w:r>
    </w:p>
    <w:p>
      <w:pPr>
        <w:spacing w:line="0" w:lineRule="atLeast"/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</w:pP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成果产出：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《目标相关人需求地图</w:t>
      </w: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》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  <w:t>、《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顾客旅程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  <w:t>》、《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移情图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  <w:t>》</w:t>
      </w:r>
    </w:p>
    <w:p>
      <w:pPr>
        <w:spacing w:line="0" w:lineRule="atLeast"/>
        <w:rPr>
          <w:rFonts w:ascii="微软雅黑" w:hAnsi="微软雅黑" w:eastAsia="微软雅黑" w:cs="阿里巴巴普惠体 R"/>
          <w:color w:val="BF5709"/>
          <w:sz w:val="24"/>
          <w:szCs w:val="24"/>
        </w:rPr>
      </w:pP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第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 xml:space="preserve">步：需求聚焦，激发创意 </w:t>
      </w:r>
      <w:r>
        <w:rPr>
          <w:rFonts w:ascii="微软雅黑" w:hAnsi="微软雅黑" w:eastAsia="微软雅黑" w:cs="阿里巴巴普惠体 R"/>
          <w:b/>
          <w:bCs/>
          <w:szCs w:val="21"/>
        </w:rPr>
        <w:t xml:space="preserve">      </w:t>
      </w: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创意借用：从“行业惯性”到“跨界启发”</w:t>
      </w:r>
    </w:p>
    <w:p>
      <w:pPr>
        <w:pStyle w:val="13"/>
        <w:numPr>
          <w:ilvl w:val="0"/>
          <w:numId w:val="11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美第奇效应</w:t>
      </w:r>
    </w:p>
    <w:p>
      <w:pPr>
        <w:pStyle w:val="13"/>
        <w:numPr>
          <w:ilvl w:val="0"/>
          <w:numId w:val="11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同业借用是捷径</w:t>
      </w:r>
    </w:p>
    <w:p>
      <w:pPr>
        <w:pStyle w:val="13"/>
        <w:numPr>
          <w:ilvl w:val="0"/>
          <w:numId w:val="11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异业借用易突破（异业同题）</w:t>
      </w:r>
    </w:p>
    <w:p>
      <w:pPr>
        <w:spacing w:line="0" w:lineRule="atLeas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成果产出：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《关键需求点创新方案》、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  <w:t>《商业模式创新地图》</w:t>
      </w:r>
    </w:p>
    <w:p>
      <w:pPr>
        <w:spacing w:line="0" w:lineRule="atLeast"/>
        <w:rPr>
          <w:rFonts w:ascii="微软雅黑" w:hAnsi="微软雅黑" w:eastAsia="微软雅黑" w:cs="阿里巴巴普惠体 R"/>
          <w:color w:val="BF5709"/>
          <w:sz w:val="24"/>
          <w:szCs w:val="24"/>
        </w:rPr>
      </w:pPr>
    </w:p>
    <w:p>
      <w:pPr>
        <w:spacing w:line="0" w:lineRule="atLeas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第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五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>步：举一反三</w:t>
      </w:r>
      <w:r>
        <w:rPr>
          <w:rFonts w:hint="eastAsia" w:ascii="微软雅黑" w:hAnsi="微软雅黑" w:eastAsia="微软雅黑" w:cs="阿里巴巴普惠体 R"/>
          <w:b/>
          <w:bCs/>
          <w:szCs w:val="21"/>
          <w:lang w:eastAsia="zh-CN"/>
        </w:rPr>
        <w:t>，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拓展创意</w:t>
      </w: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举一反三：从“纠结形式”到“灵活变通”</w:t>
      </w:r>
    </w:p>
    <w:p>
      <w:pPr>
        <w:pStyle w:val="13"/>
        <w:numPr>
          <w:ilvl w:val="0"/>
          <w:numId w:val="12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把握本质，透过形式看原理</w:t>
      </w:r>
    </w:p>
    <w:p>
      <w:pPr>
        <w:pStyle w:val="13"/>
        <w:numPr>
          <w:ilvl w:val="0"/>
          <w:numId w:val="12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横向思考，突破思维的瓶颈</w:t>
      </w:r>
    </w:p>
    <w:p>
      <w:pPr>
        <w:pStyle w:val="13"/>
        <w:numPr>
          <w:ilvl w:val="0"/>
          <w:numId w:val="12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ascii="微软雅黑" w:hAnsi="微软雅黑" w:eastAsia="微软雅黑" w:cs="阿里巴巴普惠体 R"/>
          <w:szCs w:val="21"/>
        </w:rPr>
        <w:t>3</w:t>
      </w:r>
      <w:r>
        <w:rPr>
          <w:rFonts w:hint="eastAsia" w:ascii="微软雅黑" w:hAnsi="微软雅黑" w:eastAsia="微软雅黑" w:cs="阿里巴巴普惠体 R"/>
          <w:szCs w:val="21"/>
        </w:rPr>
        <w:t>）“广深高速”，组合拳应用，快速激发团队产出解决方案</w:t>
      </w:r>
    </w:p>
    <w:p>
      <w:pPr>
        <w:spacing w:line="0" w:lineRule="atLeas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成果产出：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《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行为+矛盾矩阵图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》</w:t>
      </w:r>
    </w:p>
    <w:p>
      <w:pPr>
        <w:spacing w:line="0" w:lineRule="atLeast"/>
        <w:rPr>
          <w:rFonts w:hint="eastAsia" w:ascii="微软雅黑" w:hAnsi="微软雅黑" w:eastAsia="微软雅黑" w:cs="阿里巴巴普惠体 R"/>
          <w:b/>
          <w:bCs/>
          <w:szCs w:val="21"/>
        </w:rPr>
      </w:pP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第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六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 xml:space="preserve">步：创意决策，达成共识 </w:t>
      </w:r>
      <w:r>
        <w:rPr>
          <w:rFonts w:ascii="微软雅黑" w:hAnsi="微软雅黑" w:eastAsia="微软雅黑" w:cs="阿里巴巴普惠体 R"/>
          <w:b/>
          <w:bCs/>
          <w:szCs w:val="21"/>
        </w:rPr>
        <w:t xml:space="preserve">   </w:t>
      </w: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设定标准，统一语境</w:t>
      </w:r>
    </w:p>
    <w:p>
      <w:pPr>
        <w:pStyle w:val="13"/>
        <w:numPr>
          <w:ilvl w:val="0"/>
          <w:numId w:val="13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意见相左时，制定标准是关键</w:t>
      </w:r>
    </w:p>
    <w:p>
      <w:pPr>
        <w:pStyle w:val="13"/>
        <w:numPr>
          <w:ilvl w:val="0"/>
          <w:numId w:val="13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关键利益相关人的关键需求</w:t>
      </w:r>
    </w:p>
    <w:p>
      <w:pPr>
        <w:pStyle w:val="13"/>
        <w:numPr>
          <w:ilvl w:val="0"/>
          <w:numId w:val="13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四大核心标准</w:t>
      </w: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评估方案，排序分区</w:t>
      </w:r>
    </w:p>
    <w:p>
      <w:pPr>
        <w:pStyle w:val="13"/>
        <w:numPr>
          <w:ilvl w:val="0"/>
          <w:numId w:val="14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标准前置</w:t>
      </w:r>
    </w:p>
    <w:p>
      <w:pPr>
        <w:pStyle w:val="13"/>
        <w:numPr>
          <w:ilvl w:val="0"/>
          <w:numId w:val="14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矩阵思维/象限思维</w:t>
      </w:r>
    </w:p>
    <w:p>
      <w:pPr>
        <w:widowControl/>
        <w:jc w:val="both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成果产出：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eastAsia="zh-CN"/>
        </w:rPr>
        <w:t>《价值评估矩阵》、</w:t>
      </w:r>
      <w:r>
        <w:rPr>
          <w:rFonts w:ascii="微软雅黑" w:hAnsi="微软雅黑" w:eastAsia="微软雅黑" w:cs="阿里巴巴普惠体 R"/>
          <w:color w:val="BF5709"/>
          <w:sz w:val="24"/>
          <w:szCs w:val="24"/>
        </w:rPr>
        <w:t>《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目标相关人</w:t>
      </w:r>
      <w:r>
        <w:rPr>
          <w:rFonts w:ascii="微软雅黑" w:hAnsi="微软雅黑" w:eastAsia="微软雅黑" w:cs="阿里巴巴普惠体 R"/>
          <w:color w:val="BF5709"/>
          <w:sz w:val="24"/>
          <w:szCs w:val="24"/>
        </w:rPr>
        <w:t>共识方案》</w:t>
      </w: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</w:p>
    <w:p>
      <w:pPr>
        <w:spacing w:line="0" w:lineRule="atLeast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第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七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 xml:space="preserve">步：共识落地，计划实施 </w:t>
      </w:r>
      <w:r>
        <w:rPr>
          <w:rFonts w:ascii="微软雅黑" w:hAnsi="微软雅黑" w:eastAsia="微软雅黑" w:cs="阿里巴巴普惠体 R"/>
          <w:b/>
          <w:bCs/>
          <w:szCs w:val="21"/>
        </w:rPr>
        <w:t xml:space="preserve">   </w:t>
      </w: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任务盘点，</w:t>
      </w:r>
      <w:r>
        <w:rPr>
          <w:rFonts w:ascii="微软雅黑" w:hAnsi="微软雅黑" w:eastAsia="微软雅黑" w:cs="阿里巴巴普惠体 R"/>
          <w:b/>
          <w:bCs/>
          <w:szCs w:val="21"/>
        </w:rPr>
        <w:t xml:space="preserve"> 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>心中有数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脑中有图，胸有成竹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从杂乱无章到清晰有序</w:t>
      </w:r>
    </w:p>
    <w:p>
      <w:pPr>
        <w:rPr>
          <w:rFonts w:ascii="阿里巴巴普惠体 R" w:hAnsi="阿里巴巴普惠体 R" w:eastAsia="阿里巴巴普惠体 R" w:cs="阿里巴巴普惠体 R"/>
          <w:sz w:val="24"/>
          <w:szCs w:val="24"/>
        </w:rPr>
      </w:pP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制定计划，回归行动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统筹规划，有全局、有重点、有控制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团队协同，同步追踪</w:t>
      </w:r>
    </w:p>
    <w:p>
      <w:pPr>
        <w:widowControl/>
        <w:jc w:val="left"/>
        <w:rPr>
          <w:rFonts w:ascii="阿里巴巴普惠体 R" w:hAnsi="阿里巴巴普惠体 R" w:eastAsia="阿里巴巴普惠体 R" w:cs="阿里巴巴普惠体 R"/>
          <w:b/>
          <w:sz w:val="24"/>
          <w:szCs w:val="24"/>
        </w:rPr>
      </w:pPr>
    </w:p>
    <w:p>
      <w:pPr>
        <w:pStyle w:val="13"/>
        <w:numPr>
          <w:ilvl w:val="0"/>
          <w:numId w:val="7"/>
        </w:numPr>
        <w:spacing w:line="0" w:lineRule="atLeast"/>
        <w:ind w:firstLineChars="0"/>
        <w:rPr>
          <w:rFonts w:ascii="微软雅黑" w:hAnsi="微软雅黑" w:eastAsia="微软雅黑" w:cs="阿里巴巴普惠体 R"/>
          <w:b/>
          <w:bCs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行为设计：从“归咎于人”到“落到设计”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行为设计三要素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动机提升2法则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降低能力成本1</w:t>
      </w:r>
      <w:r>
        <w:rPr>
          <w:rFonts w:ascii="微软雅黑" w:hAnsi="微软雅黑" w:eastAsia="微软雅黑" w:cs="阿里巴巴普惠体 R"/>
          <w:szCs w:val="21"/>
        </w:rPr>
        <w:t>2</w:t>
      </w:r>
      <w:r>
        <w:rPr>
          <w:rFonts w:hint="eastAsia" w:ascii="微软雅黑" w:hAnsi="微软雅黑" w:eastAsia="微软雅黑" w:cs="阿里巴巴普惠体 R"/>
          <w:szCs w:val="21"/>
        </w:rPr>
        <w:t>个技巧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增加触发3个小技巧</w:t>
      </w:r>
    </w:p>
    <w:p>
      <w:pPr>
        <w:rPr>
          <w:rFonts w:ascii="微软雅黑" w:hAnsi="微软雅黑" w:eastAsia="微软雅黑"/>
          <w:b/>
          <w:bCs/>
          <w:color w:val="222222"/>
          <w:spacing w:val="8"/>
          <w:sz w:val="6"/>
          <w:szCs w:val="6"/>
          <w:shd w:val="clear" w:color="auto" w:fill="FFFFFF"/>
        </w:rPr>
      </w:pPr>
      <w:r>
        <w:rPr>
          <w:rFonts w:hint="eastAsia" w:ascii="微软雅黑" w:hAnsi="微软雅黑" w:eastAsia="微软雅黑" w:cs="阿里巴巴普惠体 R"/>
          <w:b/>
          <w:bCs/>
          <w:color w:val="BF5709"/>
          <w:sz w:val="24"/>
          <w:szCs w:val="24"/>
        </w:rPr>
        <w:t>成果产出：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《创新目标落地行动方案》</w:t>
      </w:r>
    </w:p>
    <w:p>
      <w:pPr>
        <w:spacing w:line="0" w:lineRule="atLeast"/>
        <w:ind w:right="-426" w:rightChars="-203"/>
        <w:rPr>
          <w:rFonts w:hint="eastAsia" w:ascii="微软雅黑" w:hAnsi="微软雅黑" w:eastAsia="微软雅黑" w:cs="阿里巴巴普惠体 R"/>
          <w:b/>
          <w:bCs/>
          <w:szCs w:val="21"/>
        </w:rPr>
      </w:pPr>
    </w:p>
    <w:p>
      <w:pPr>
        <w:spacing w:line="0" w:lineRule="atLeast"/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第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八</w:t>
      </w:r>
      <w:r>
        <w:rPr>
          <w:rFonts w:hint="eastAsia" w:ascii="微软雅黑" w:hAnsi="微软雅黑" w:eastAsia="微软雅黑" w:cs="阿里巴巴普惠体 R"/>
          <w:b/>
          <w:bCs/>
          <w:szCs w:val="21"/>
        </w:rPr>
        <w:t>步：</w:t>
      </w:r>
      <w:r>
        <w:rPr>
          <w:rFonts w:hint="eastAsia" w:ascii="微软雅黑" w:hAnsi="微软雅黑" w:eastAsia="微软雅黑" w:cs="阿里巴巴普惠体 R"/>
          <w:b/>
          <w:bCs/>
          <w:szCs w:val="21"/>
          <w:lang w:val="en-US" w:eastAsia="zh-CN"/>
        </w:rPr>
        <w:t>高效汇报，复盘成长</w:t>
      </w:r>
    </w:p>
    <w:p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left="420" w:leftChars="0" w:hanging="420" w:firstLineChars="0"/>
        <w:textAlignment w:val="auto"/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  <w:t>方案提报的要点与技巧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提报前的准备工作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开场白：吸引注意，概述观点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提报中：论点有力，论据充分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结尾处：回顾总结，综述要点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</w:rPr>
      </w:pPr>
      <w:r>
        <w:rPr>
          <w:rFonts w:hint="eastAsia" w:ascii="微软雅黑" w:hAnsi="微软雅黑" w:eastAsia="微软雅黑" w:cs="阿里巴巴普惠体 R"/>
          <w:szCs w:val="21"/>
        </w:rPr>
        <w:t>巧答疑：避重就轻，回归主题</w:t>
      </w:r>
    </w:p>
    <w:p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left="420" w:leftChars="0" w:hanging="420" w:firstLineChars="0"/>
        <w:textAlignment w:val="auto"/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阿里巴巴普惠体 R"/>
          <w:b/>
          <w:bCs/>
          <w:kern w:val="2"/>
          <w:sz w:val="21"/>
          <w:szCs w:val="21"/>
          <w:lang w:val="en-US" w:eastAsia="zh-CN" w:bidi="ar-SA"/>
        </w:rPr>
        <w:t>乐高式复盘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  <w:lang w:val="en-US" w:eastAsia="zh-CN"/>
        </w:rPr>
      </w:pPr>
      <w:r>
        <w:rPr>
          <w:rFonts w:hint="eastAsia" w:ascii="微软雅黑" w:hAnsi="微软雅黑" w:eastAsia="微软雅黑" w:cs="阿里巴巴普惠体 R"/>
          <w:szCs w:val="21"/>
          <w:lang w:val="en-US" w:eastAsia="zh-CN"/>
        </w:rPr>
        <w:t>什么是复盘？为什么要做复盘？</w:t>
      </w:r>
    </w:p>
    <w:p>
      <w:pPr>
        <w:pStyle w:val="13"/>
        <w:numPr>
          <w:ilvl w:val="0"/>
          <w:numId w:val="15"/>
        </w:numPr>
        <w:spacing w:line="0" w:lineRule="atLeast"/>
        <w:ind w:firstLineChars="0"/>
        <w:rPr>
          <w:rFonts w:hint="eastAsia" w:ascii="微软雅黑" w:hAnsi="微软雅黑" w:eastAsia="微软雅黑" w:cs="阿里巴巴普惠体 R"/>
          <w:szCs w:val="21"/>
          <w:lang w:val="en-US" w:eastAsia="zh-CN"/>
        </w:rPr>
      </w:pPr>
      <w:r>
        <w:rPr>
          <w:rFonts w:hint="eastAsia" w:ascii="微软雅黑" w:hAnsi="微软雅黑" w:eastAsia="微软雅黑" w:cs="阿里巴巴普惠体 R"/>
          <w:szCs w:val="21"/>
          <w:lang w:val="en-US" w:eastAsia="zh-CN"/>
        </w:rPr>
        <w:t>如何做复盘？分组：乐高式复盘</w:t>
      </w:r>
    </w:p>
    <w:p>
      <w:pPr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辅导企业部分案例成果：</w:t>
      </w:r>
    </w:p>
    <w:tbl>
      <w:tblPr>
        <w:tblStyle w:val="7"/>
        <w:tblW w:w="8929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162"/>
        <w:gridCol w:w="2660"/>
        <w:gridCol w:w="42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序号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时间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企业</w:t>
            </w:r>
          </w:p>
        </w:tc>
        <w:tc>
          <w:tcPr>
            <w:tcW w:w="4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46A0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4"/>
                <w:szCs w:val="24"/>
              </w:rPr>
              <w:t>成果</w:t>
            </w:r>
          </w:p>
        </w:tc>
      </w:tr>
      <w:tr>
        <w:trPr>
          <w:trHeight w:val="451" w:hRule="atLeast"/>
        </w:trPr>
        <w:tc>
          <w:tcPr>
            <w:tcW w:w="8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2017年</w:t>
            </w:r>
          </w:p>
        </w:tc>
        <w:tc>
          <w:tcPr>
            <w:tcW w:w="2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当当网</w:t>
            </w: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广州仓储拣选面积下降71.4%</w:t>
            </w:r>
          </w:p>
        </w:tc>
      </w:tr>
      <w:tr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货架数量下降64%等等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2018年</w:t>
            </w:r>
          </w:p>
        </w:tc>
        <w:tc>
          <w:tcPr>
            <w:tcW w:w="2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中国南方航空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《鲲鹏绩效工坊》</w:t>
            </w: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微小创新方案32项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主题课程落地方案7个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实现一年降低NFF费用一年27.4万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休息室创收一年19万等等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2019年</w:t>
            </w:r>
          </w:p>
        </w:tc>
        <w:tc>
          <w:tcPr>
            <w:tcW w:w="2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生活家</w:t>
            </w: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微小创新方案37项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小组课题创新方案6个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课题项目降低870万库存成本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其中一个课题产品合格率提升11%等等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2019年</w:t>
            </w:r>
          </w:p>
        </w:tc>
        <w:tc>
          <w:tcPr>
            <w:tcW w:w="2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中国银行总行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《从创意到绩效-中银学习创新思维训练营》</w:t>
            </w: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微小创新方案216项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课题落地方案6个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形成AI训练师完整方案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获得全国第四届学习设计大赛金奖</w:t>
            </w:r>
          </w:p>
        </w:tc>
      </w:tr>
    </w:tbl>
    <w:p>
      <w:pPr>
        <w:spacing w:line="0" w:lineRule="atLeast"/>
        <w:jc w:val="left"/>
        <w:rPr>
          <w:rFonts w:ascii="微软雅黑" w:hAnsi="微软雅黑" w:eastAsia="微软雅黑"/>
          <w:b/>
          <w:bCs/>
          <w:color w:val="222222"/>
          <w:spacing w:val="8"/>
          <w:szCs w:val="21"/>
          <w:shd w:val="clear" w:color="auto" w:fill="FFFFFF"/>
        </w:rPr>
      </w:pPr>
    </w:p>
    <w:p>
      <w:pPr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辅导企业部分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  <w:lang w:val="en-US" w:eastAsia="zh-CN"/>
        </w:rPr>
        <w:t>现场照片</w:t>
      </w: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：</w:t>
      </w:r>
    </w:p>
    <w:tbl>
      <w:tblPr>
        <w:tblStyle w:val="7"/>
        <w:tblW w:w="8913" w:type="dxa"/>
        <w:tblInd w:w="11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6"/>
        <w:gridCol w:w="45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drawing>
                <wp:inline distT="0" distB="0" distL="114300" distR="114300">
                  <wp:extent cx="2564765" cy="1710055"/>
                  <wp:effectExtent l="0" t="0" r="635" b="4445"/>
                  <wp:docPr id="9" name="图片 9" descr="6cd056200c517d3a353d175de014ec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6cd056200c517d3a353d175de014ec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765" cy="1710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中国银行总行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《从创意到绩效-中银学习创新思维训练营》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drawing>
                <wp:inline distT="0" distB="0" distL="114300" distR="114300">
                  <wp:extent cx="2564765" cy="1704975"/>
                  <wp:effectExtent l="0" t="0" r="635" b="9525"/>
                  <wp:docPr id="11" name="图片 11" descr="4bb2ea9162eb5ea732f5d1c4f1ac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4bb2ea9162eb5ea732f5d1c4f1ac23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765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世纪佳缘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APP敏捷开发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工坊》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drawing>
                <wp:inline distT="0" distB="0" distL="114300" distR="114300">
                  <wp:extent cx="2557145" cy="1699260"/>
                  <wp:effectExtent l="0" t="0" r="8255" b="2540"/>
                  <wp:docPr id="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145" cy="169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华为</w:t>
            </w:r>
            <w:r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大学iCenter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华为创新训练营HarmonyOS专场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drawing>
                <wp:inline distT="0" distB="0" distL="114300" distR="114300">
                  <wp:extent cx="2564130" cy="1433830"/>
                  <wp:effectExtent l="0" t="0" r="1270" b="1270"/>
                  <wp:docPr id="16" name="图片 16" descr="165102969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1651029695(1)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130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腾讯可持续社会价值事业部创新办学实验室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与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腾讯学堂联合推出的“E+研修营”</w:t>
            </w:r>
          </w:p>
        </w:tc>
      </w:tr>
      <w:tr>
        <w:trPr>
          <w:trHeight w:val="451" w:hRule="atLeast"/>
        </w:trPr>
        <w:tc>
          <w:tcPr>
            <w:tcW w:w="4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drawing>
                <wp:inline distT="0" distB="0" distL="114300" distR="114300">
                  <wp:extent cx="2567940" cy="2193290"/>
                  <wp:effectExtent l="0" t="0" r="10160" b="3810"/>
                  <wp:docPr id="2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0" cy="2193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德勤中国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“大湾区创新训练营”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drawing>
                <wp:inline distT="0" distB="0" distL="114300" distR="114300">
                  <wp:extent cx="2619375" cy="1460500"/>
                  <wp:effectExtent l="0" t="0" r="9525" b="0"/>
                  <wp:docPr id="2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375" cy="146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更多……</w:t>
            </w:r>
          </w:p>
        </w:tc>
      </w:tr>
    </w:tbl>
    <w:p>
      <w:pPr>
        <w:jc w:val="left"/>
        <w:rPr>
          <w:rFonts w:ascii="微软雅黑" w:hAnsi="微软雅黑" w:eastAsia="微软雅黑" w:cs="阿里巴巴普惠体 R"/>
          <w:color w:val="BF5709"/>
          <w:sz w:val="24"/>
          <w:szCs w:val="24"/>
        </w:rPr>
      </w:pPr>
      <w:r>
        <w:rPr>
          <w:rFonts w:hint="eastAsia" w:ascii="微软雅黑" w:hAnsi="微软雅黑" w:eastAsia="微软雅黑" w:cs="阿里巴巴普惠体 R"/>
          <w:color w:val="BF5709"/>
          <w:sz w:val="24"/>
          <w:szCs w:val="24"/>
        </w:rPr>
        <w:t>部分合作客户</w:t>
      </w:r>
      <w:r>
        <w:rPr>
          <w:rFonts w:ascii="微软雅黑" w:hAnsi="微软雅黑" w:eastAsia="微软雅黑" w:cs="阿里巴巴普惠体 R"/>
          <w:color w:val="BF5709"/>
          <w:sz w:val="24"/>
          <w:szCs w:val="24"/>
        </w:rPr>
        <w:t>:</w:t>
      </w:r>
    </w:p>
    <w:p>
      <w:pPr>
        <w:spacing w:line="0" w:lineRule="atLeast"/>
        <w:ind w:right="-426" w:rightChars="-203"/>
        <w:rPr>
          <w:rFonts w:ascii="微软雅黑" w:hAnsi="微软雅黑" w:eastAsia="微软雅黑" w:cs="阿里巴巴普惠体 R"/>
          <w:color w:val="BF5709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互联网行业：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腾讯、巨人网络、网易、金蝶、创维、当当网、云游控股、微众、时商创展</w:t>
      </w:r>
    </w:p>
    <w:p>
      <w:pPr>
        <w:spacing w:line="0" w:lineRule="atLeast"/>
        <w:ind w:right="-426" w:rightChars="-203"/>
        <w:rPr>
          <w:rFonts w:ascii="微软雅黑" w:hAnsi="微软雅黑" w:eastAsia="微软雅黑" w:cs="阿里巴巴普惠体 R"/>
          <w:color w:val="BF5709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快速消费品行业：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可口可乐、</w:t>
      </w:r>
      <w:r>
        <w:rPr>
          <w:rFonts w:hint="eastAsia" w:ascii="微软雅黑" w:hAnsi="微软雅黑" w:eastAsia="微软雅黑" w:cs="阿里巴巴普惠体 R"/>
          <w:bCs/>
          <w:szCs w:val="21"/>
        </w:rPr>
        <w:t>班尼路、洋河、湖南烟草、永旺、Ole、欧派、尚品宅配</w:t>
      </w:r>
    </w:p>
    <w:p>
      <w:pPr>
        <w:spacing w:line="0" w:lineRule="atLeast"/>
        <w:ind w:right="-426" w:rightChars="-203"/>
        <w:rPr>
          <w:rFonts w:ascii="微软雅黑" w:hAnsi="微软雅黑" w:eastAsia="微软雅黑" w:cs="阿里巴巴普惠体 R"/>
          <w:color w:val="BF5709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健康食品行业：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迈瑞、华润三九、德克士、文王贡酒、国药控股、东亚糖业、东鹏特饮</w:t>
      </w:r>
    </w:p>
    <w:p>
      <w:pPr>
        <w:spacing w:line="0" w:lineRule="atLeast"/>
        <w:ind w:right="-426" w:rightChars="-203"/>
        <w:rPr>
          <w:rFonts w:ascii="微软雅黑" w:hAnsi="微软雅黑" w:eastAsia="微软雅黑" w:cs="阿里巴巴普惠体 R"/>
          <w:bCs/>
          <w:color w:val="000000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通信地产行业：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中国电信、中国移动、</w:t>
      </w:r>
      <w:r>
        <w:rPr>
          <w:rFonts w:ascii="微软雅黑" w:hAnsi="微软雅黑" w:eastAsia="微软雅黑" w:cs="阿里巴巴普惠体 R"/>
          <w:bCs/>
          <w:color w:val="000000"/>
          <w:szCs w:val="21"/>
        </w:rPr>
        <w:t>OPPO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、</w:t>
      </w:r>
      <w:r>
        <w:rPr>
          <w:rFonts w:hint="eastAsia" w:ascii="微软雅黑" w:hAnsi="微软雅黑" w:eastAsia="微软雅黑" w:cs="阿里巴巴普惠体 R"/>
          <w:bCs/>
          <w:szCs w:val="21"/>
        </w:rPr>
        <w:t>金地集团、华润集团、万科地产、碧桂园</w:t>
      </w:r>
    </w:p>
    <w:p>
      <w:pPr>
        <w:spacing w:line="0" w:lineRule="atLeast"/>
        <w:ind w:right="-426" w:rightChars="-203"/>
        <w:rPr>
          <w:rFonts w:ascii="微软雅黑" w:hAnsi="微软雅黑" w:eastAsia="微软雅黑" w:cs="阿里巴巴普惠体 R"/>
          <w:color w:val="BF5709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金融行业：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中国银行、工商银行、平安银行、广发银行、工银安盛、银联支付、美亚柏科</w:t>
      </w:r>
    </w:p>
    <w:p>
      <w:pPr>
        <w:spacing w:line="0" w:lineRule="atLeast"/>
        <w:ind w:right="-426" w:rightChars="-203"/>
        <w:rPr>
          <w:rFonts w:ascii="微软雅黑" w:hAnsi="微软雅黑" w:eastAsia="微软雅黑" w:cs="阿里巴巴普惠体 R"/>
          <w:color w:val="BF5709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交通运输行业：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广州地铁、徐州地铁、南方航空、成都机场、厦门海关、深圳巴士、中车</w:t>
      </w:r>
    </w:p>
    <w:p>
      <w:pPr>
        <w:spacing w:line="0" w:lineRule="atLeast"/>
        <w:ind w:right="-426" w:rightChars="-203"/>
        <w:rPr>
          <w:rFonts w:ascii="微软雅黑" w:hAnsi="微软雅黑" w:eastAsia="微软雅黑" w:cs="阿里巴巴普惠体 R"/>
          <w:color w:val="BF5709"/>
          <w:szCs w:val="21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传统行业：</w:t>
      </w:r>
      <w:r>
        <w:rPr>
          <w:rFonts w:hint="eastAsia" w:ascii="微软雅黑" w:hAnsi="微软雅黑" w:eastAsia="微软雅黑" w:cs="阿里巴巴普惠体 R"/>
          <w:bCs/>
          <w:szCs w:val="21"/>
        </w:rPr>
        <w:t>施耐德电器、</w:t>
      </w:r>
      <w:r>
        <w:rPr>
          <w:rFonts w:hint="eastAsia" w:ascii="微软雅黑" w:hAnsi="微软雅黑" w:eastAsia="微软雅黑" w:cs="阿里巴巴普惠体 R"/>
          <w:bCs/>
          <w:color w:val="000000"/>
          <w:szCs w:val="21"/>
        </w:rPr>
        <w:t>南方电网</w:t>
      </w:r>
      <w:r>
        <w:rPr>
          <w:rFonts w:hint="eastAsia" w:ascii="微软雅黑" w:hAnsi="微软雅黑" w:eastAsia="微软雅黑" w:cs="阿里巴巴普惠体 R"/>
          <w:bCs/>
          <w:szCs w:val="21"/>
        </w:rPr>
        <w:t>、中石油、东风本田、一汽大众、富士康、宝钢、中建</w:t>
      </w:r>
    </w:p>
    <w:p>
      <w:pPr>
        <w:spacing w:line="0" w:lineRule="atLeast"/>
        <w:ind w:right="-426" w:rightChars="-203"/>
        <w:rPr>
          <w:rFonts w:ascii="微软雅黑" w:hAnsi="微软雅黑" w:eastAsia="微软雅黑"/>
          <w:b/>
          <w:bCs/>
          <w:color w:val="222222"/>
          <w:spacing w:val="8"/>
          <w:szCs w:val="21"/>
          <w:shd w:val="clear" w:color="auto" w:fill="FFFFFF"/>
        </w:rPr>
      </w:pPr>
      <w:r>
        <w:rPr>
          <w:rFonts w:hint="eastAsia" w:ascii="微软雅黑" w:hAnsi="微软雅黑" w:eastAsia="微软雅黑" w:cs="阿里巴巴普惠体 R"/>
          <w:b/>
          <w:bCs/>
          <w:szCs w:val="21"/>
        </w:rPr>
        <w:t>高校机构：</w:t>
      </w:r>
      <w:r>
        <w:rPr>
          <w:rFonts w:hint="eastAsia" w:ascii="微软雅黑" w:hAnsi="微软雅黑" w:eastAsia="微软雅黑" w:cs="阿里巴巴普惠体 R"/>
          <w:bCs/>
          <w:szCs w:val="21"/>
        </w:rPr>
        <w:t>清华大学、武汉大学、吉林大学、长春大学、中山大学、2</w:t>
      </w:r>
      <w:r>
        <w:rPr>
          <w:rFonts w:ascii="微软雅黑" w:hAnsi="微软雅黑" w:eastAsia="微软雅黑" w:cs="阿里巴巴普惠体 R"/>
          <w:bCs/>
          <w:szCs w:val="21"/>
        </w:rPr>
        <w:t>9</w:t>
      </w:r>
      <w:r>
        <w:rPr>
          <w:rFonts w:hint="eastAsia" w:ascii="微软雅黑" w:hAnsi="微软雅黑" w:eastAsia="微软雅黑" w:cs="阿里巴巴普惠体 R"/>
          <w:bCs/>
          <w:szCs w:val="21"/>
        </w:rPr>
        <w:t>所、广州电视台</w:t>
      </w:r>
    </w:p>
    <w:sectPr>
      <w:headerReference r:id="rId4" w:type="first"/>
      <w:headerReference r:id="rId3" w:type="default"/>
      <w:footerReference r:id="rId5" w:type="default"/>
      <w:pgSz w:w="11906" w:h="16838"/>
      <w:pgMar w:top="1134" w:right="1416" w:bottom="1134" w:left="1560" w:header="964" w:footer="794" w:gutter="0"/>
      <w:pgBorders w:offsetFrom="page">
        <w:top w:val="single" w:color="E46A0A" w:sz="36" w:space="24"/>
        <w:left w:val="single" w:color="E46A0A" w:sz="36" w:space="24"/>
        <w:bottom w:val="single" w:color="E46A0A" w:sz="36" w:space="24"/>
        <w:right w:val="single" w:color="E46A0A" w:sz="36" w:space="24"/>
      </w:pgBorders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阿里巴巴普惠体 R">
    <w:altName w:val="宋体"/>
    <w:panose1 w:val="00000000000000000000"/>
    <w:charset w:val="86"/>
    <w:family w:val="roman"/>
    <w:pitch w:val="default"/>
    <w:sig w:usb0="00000000" w:usb1="00000000" w:usb2="0000001E" w:usb3="00000000" w:csb0="000400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41594149"/>
    </w:sdtPr>
    <w:sdtContent>
      <w:sdt>
        <w:sdtPr>
          <w:id w:val="1728636285"/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9EB8B7"/>
    <w:multiLevelType w:val="singleLevel"/>
    <w:tmpl w:val="EC9EB8B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1971B4C"/>
    <w:multiLevelType w:val="multilevel"/>
    <w:tmpl w:val="01971B4C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060E6C46"/>
    <w:multiLevelType w:val="multilevel"/>
    <w:tmpl w:val="060E6C46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18B21A62"/>
    <w:multiLevelType w:val="multilevel"/>
    <w:tmpl w:val="18B21A62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23233425"/>
    <w:multiLevelType w:val="multilevel"/>
    <w:tmpl w:val="23233425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29A30971"/>
    <w:multiLevelType w:val="multilevel"/>
    <w:tmpl w:val="29A3097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2C773A78"/>
    <w:multiLevelType w:val="singleLevel"/>
    <w:tmpl w:val="2C773A7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316B0467"/>
    <w:multiLevelType w:val="multilevel"/>
    <w:tmpl w:val="316B046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4480321C"/>
    <w:multiLevelType w:val="multilevel"/>
    <w:tmpl w:val="4480321C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58B73E68"/>
    <w:multiLevelType w:val="multilevel"/>
    <w:tmpl w:val="58B73E68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AB278A"/>
    <w:multiLevelType w:val="multilevel"/>
    <w:tmpl w:val="5AAB278A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6A994F41"/>
    <w:multiLevelType w:val="multilevel"/>
    <w:tmpl w:val="6A994F41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71853B92"/>
    <w:multiLevelType w:val="multilevel"/>
    <w:tmpl w:val="71853B92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72CC5551"/>
    <w:multiLevelType w:val="multilevel"/>
    <w:tmpl w:val="72CC555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78CC77C8"/>
    <w:multiLevelType w:val="multilevel"/>
    <w:tmpl w:val="78CC77C8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">
    <w:nsid w:val="7B9134B9"/>
    <w:multiLevelType w:val="multilevel"/>
    <w:tmpl w:val="7B9134B9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0"/>
  </w:num>
  <w:num w:numId="3">
    <w:abstractNumId w:val="11"/>
  </w:num>
  <w:num w:numId="4">
    <w:abstractNumId w:val="13"/>
  </w:num>
  <w:num w:numId="5">
    <w:abstractNumId w:val="14"/>
  </w:num>
  <w:num w:numId="6">
    <w:abstractNumId w:val="2"/>
  </w:num>
  <w:num w:numId="7">
    <w:abstractNumId w:val="7"/>
  </w:num>
  <w:num w:numId="8">
    <w:abstractNumId w:val="3"/>
  </w:num>
  <w:num w:numId="9">
    <w:abstractNumId w:val="8"/>
  </w:num>
  <w:num w:numId="10">
    <w:abstractNumId w:val="12"/>
  </w:num>
  <w:num w:numId="11">
    <w:abstractNumId w:val="15"/>
  </w:num>
  <w:num w:numId="12">
    <w:abstractNumId w:val="4"/>
  </w:num>
  <w:num w:numId="13">
    <w:abstractNumId w:val="1"/>
  </w:num>
  <w:num w:numId="14">
    <w:abstractNumId w:val="10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RmMjExOWE3M2I4ZTY4MGZmYjZlMzU2ZmM1ZjFhYzEifQ=="/>
  </w:docVars>
  <w:rsids>
    <w:rsidRoot w:val="005B775A"/>
    <w:rsid w:val="000260BD"/>
    <w:rsid w:val="00027FC9"/>
    <w:rsid w:val="00033D20"/>
    <w:rsid w:val="00054AAE"/>
    <w:rsid w:val="000D4D78"/>
    <w:rsid w:val="000F217C"/>
    <w:rsid w:val="00121B0E"/>
    <w:rsid w:val="001250F0"/>
    <w:rsid w:val="001252F3"/>
    <w:rsid w:val="00144E64"/>
    <w:rsid w:val="001B4446"/>
    <w:rsid w:val="00244F96"/>
    <w:rsid w:val="00274B1D"/>
    <w:rsid w:val="00291982"/>
    <w:rsid w:val="0029696F"/>
    <w:rsid w:val="002B7452"/>
    <w:rsid w:val="002D64D5"/>
    <w:rsid w:val="0030777C"/>
    <w:rsid w:val="00363037"/>
    <w:rsid w:val="00370E3E"/>
    <w:rsid w:val="0038188A"/>
    <w:rsid w:val="004005F4"/>
    <w:rsid w:val="0049156B"/>
    <w:rsid w:val="004C3329"/>
    <w:rsid w:val="004D2723"/>
    <w:rsid w:val="004E745C"/>
    <w:rsid w:val="00515F4A"/>
    <w:rsid w:val="005B4971"/>
    <w:rsid w:val="005B775A"/>
    <w:rsid w:val="005F431B"/>
    <w:rsid w:val="006168C9"/>
    <w:rsid w:val="0063717B"/>
    <w:rsid w:val="0064510C"/>
    <w:rsid w:val="00677AAB"/>
    <w:rsid w:val="00682FA4"/>
    <w:rsid w:val="007150EC"/>
    <w:rsid w:val="00773199"/>
    <w:rsid w:val="007962D3"/>
    <w:rsid w:val="007A385C"/>
    <w:rsid w:val="008076B2"/>
    <w:rsid w:val="00807892"/>
    <w:rsid w:val="00822960"/>
    <w:rsid w:val="008405DA"/>
    <w:rsid w:val="00882251"/>
    <w:rsid w:val="00886CDD"/>
    <w:rsid w:val="008879D8"/>
    <w:rsid w:val="00892EC2"/>
    <w:rsid w:val="008A0E58"/>
    <w:rsid w:val="008C6DF3"/>
    <w:rsid w:val="008E2B7C"/>
    <w:rsid w:val="00922465"/>
    <w:rsid w:val="00967AB9"/>
    <w:rsid w:val="0098257A"/>
    <w:rsid w:val="00997AF8"/>
    <w:rsid w:val="009B1018"/>
    <w:rsid w:val="00A027E5"/>
    <w:rsid w:val="00A12055"/>
    <w:rsid w:val="00A17D67"/>
    <w:rsid w:val="00A470FE"/>
    <w:rsid w:val="00A512D9"/>
    <w:rsid w:val="00A57B67"/>
    <w:rsid w:val="00A64F6E"/>
    <w:rsid w:val="00A75B6F"/>
    <w:rsid w:val="00A83D18"/>
    <w:rsid w:val="00AA2835"/>
    <w:rsid w:val="00AB2C09"/>
    <w:rsid w:val="00AE10DF"/>
    <w:rsid w:val="00B052C5"/>
    <w:rsid w:val="00BC4895"/>
    <w:rsid w:val="00BC7C27"/>
    <w:rsid w:val="00BF6560"/>
    <w:rsid w:val="00C03068"/>
    <w:rsid w:val="00C153C6"/>
    <w:rsid w:val="00CB69B3"/>
    <w:rsid w:val="00D250E8"/>
    <w:rsid w:val="00D349A1"/>
    <w:rsid w:val="00D4122E"/>
    <w:rsid w:val="00D525A1"/>
    <w:rsid w:val="00D90656"/>
    <w:rsid w:val="00E17652"/>
    <w:rsid w:val="00E4424A"/>
    <w:rsid w:val="00E90125"/>
    <w:rsid w:val="00F54AA0"/>
    <w:rsid w:val="00F54D53"/>
    <w:rsid w:val="00F60138"/>
    <w:rsid w:val="00F748B6"/>
    <w:rsid w:val="00FA1B67"/>
    <w:rsid w:val="00FB3B30"/>
    <w:rsid w:val="00FB469C"/>
    <w:rsid w:val="00FF6C58"/>
    <w:rsid w:val="16A642AE"/>
    <w:rsid w:val="17FD5C7B"/>
    <w:rsid w:val="42795580"/>
    <w:rsid w:val="427D2ABC"/>
    <w:rsid w:val="48942AD7"/>
    <w:rsid w:val="783B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Emphasis"/>
    <w:basedOn w:val="8"/>
    <w:qFormat/>
    <w:uiPriority w:val="20"/>
    <w:rPr>
      <w:i/>
      <w:iCs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link w:val="14"/>
    <w:qFormat/>
    <w:uiPriority w:val="34"/>
    <w:pPr>
      <w:ind w:firstLine="420" w:firstLineChars="200"/>
    </w:pPr>
  </w:style>
  <w:style w:type="character" w:customStyle="1" w:styleId="14">
    <w:name w:val="列表段落 字符"/>
    <w:basedOn w:val="8"/>
    <w:link w:val="13"/>
    <w:qFormat/>
    <w:uiPriority w:val="34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3330</Words>
  <Characters>3426</Characters>
  <Lines>27</Lines>
  <Paragraphs>7</Paragraphs>
  <TotalTime>0</TotalTime>
  <ScaleCrop>false</ScaleCrop>
  <LinksUpToDate>false</LinksUpToDate>
  <CharactersWithSpaces>3485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2021-03-01T03:27:00Z</dcterms:created>
  <dc:creator>Administrator</dc:creator>
  <cp:lastModifiedBy>培训师胡一夫</cp:lastModifiedBy>
  <cp:lastPrinted>2021-03-04T14:29:00Z</cp:lastPrinted>
  <dcterms:modified xsi:type="dcterms:W3CDTF">2022-10-10T11:37:31Z</dcterms:modified>
  <cp:revision>202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9F5CFACBA6B640E5AF6A1CC97639E417</vt:lpwstr>
  </property>
</Properties>
</file>