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/>
        <w:keepLines/>
        <w:widowControl w:val="0"/>
        <w:spacing w:before="260" w:beforeAutospacing="0" w:after="260" w:afterAutospacing="0" w:line="416" w:lineRule="auto"/>
        <w:jc w:val="center"/>
        <w:rPr>
          <w:rFonts w:hint="eastAsia" w:cs="Times New Roman" w:eastAsiaTheme="minorEastAsia"/>
          <w:kern w:val="2"/>
          <w:sz w:val="44"/>
          <w:szCs w:val="44"/>
        </w:rPr>
      </w:pPr>
      <w:r>
        <w:rPr>
          <w:rFonts w:hint="eastAsia" w:cs="Times New Roman" w:eastAsiaTheme="minorEastAsia"/>
          <w:kern w:val="2"/>
          <w:sz w:val="44"/>
          <w:szCs w:val="44"/>
          <w:lang w:eastAsia="zh-CN"/>
        </w:rPr>
        <w:t>《</w:t>
      </w:r>
      <w:r>
        <w:rPr>
          <w:rFonts w:hint="eastAsia" w:cs="Times New Roman" w:eastAsiaTheme="minorEastAsia"/>
          <w:kern w:val="2"/>
          <w:sz w:val="44"/>
          <w:szCs w:val="44"/>
        </w:rPr>
        <w:t>客户投诉及索赔谈判</w:t>
      </w:r>
      <w:r>
        <w:rPr>
          <w:rFonts w:hint="eastAsia" w:cs="Times New Roman" w:eastAsiaTheme="minorEastAsia"/>
          <w:kern w:val="2"/>
          <w:sz w:val="44"/>
          <w:szCs w:val="44"/>
          <w:lang w:eastAsia="zh-CN"/>
        </w:rPr>
        <w:t>》</w:t>
      </w:r>
    </w:p>
    <w:p>
      <w:pPr>
        <w:spacing w:line="360" w:lineRule="auto"/>
        <w:rPr>
          <w:rFonts w:asciiTheme="minorEastAsia" w:hAnsiTheme="minorEastAsia" w:eastAsiaTheme="minorEastAsia"/>
          <w:sz w:val="21"/>
          <w:szCs w:val="21"/>
        </w:rPr>
      </w:pPr>
    </w:p>
    <w:p>
      <w:pPr>
        <w:pStyle w:val="2"/>
        <w:keepNext/>
        <w:keepLines/>
        <w:widowControl w:val="0"/>
        <w:spacing w:before="260" w:beforeAutospacing="0" w:after="260" w:afterAutospacing="0" w:line="400" w:lineRule="exact"/>
        <w:jc w:val="both"/>
        <w:rPr>
          <w:rFonts w:hint="eastAsia" w:cs="Times New Roman" w:eastAsiaTheme="minorEastAsia"/>
          <w:kern w:val="2"/>
          <w:sz w:val="24"/>
          <w:szCs w:val="24"/>
        </w:rPr>
      </w:pPr>
      <w:r>
        <w:rPr>
          <w:rFonts w:hint="eastAsia" w:cs="Times New Roman" w:eastAsiaTheme="minorEastAsia"/>
          <w:kern w:val="2"/>
          <w:sz w:val="24"/>
          <w:szCs w:val="24"/>
        </w:rPr>
        <w:t>培训收益：</w:t>
      </w:r>
    </w:p>
    <w:p>
      <w:pPr>
        <w:pStyle w:val="9"/>
        <w:numPr>
          <w:ilvl w:val="0"/>
          <w:numId w:val="1"/>
        </w:numPr>
        <w:spacing w:line="360" w:lineRule="auto"/>
        <w:ind w:firstLineChars="0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掌握客户投诉原因</w:t>
      </w:r>
    </w:p>
    <w:p>
      <w:pPr>
        <w:pStyle w:val="9"/>
        <w:numPr>
          <w:ilvl w:val="0"/>
          <w:numId w:val="1"/>
        </w:numPr>
        <w:spacing w:line="360" w:lineRule="auto"/>
        <w:ind w:firstLineChars="0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掌握客户投诉处理的原则</w:t>
      </w:r>
    </w:p>
    <w:p>
      <w:pPr>
        <w:pStyle w:val="9"/>
        <w:numPr>
          <w:ilvl w:val="0"/>
          <w:numId w:val="1"/>
        </w:numPr>
        <w:spacing w:line="360" w:lineRule="auto"/>
        <w:ind w:firstLineChars="0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掌握客户投诉的流程及策略清晰</w:t>
      </w:r>
    </w:p>
    <w:p>
      <w:pPr>
        <w:pStyle w:val="9"/>
        <w:numPr>
          <w:ilvl w:val="0"/>
          <w:numId w:val="1"/>
        </w:numPr>
        <w:spacing w:line="360" w:lineRule="auto"/>
        <w:ind w:firstLineChars="0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理解索赔谈判的内涵和双赢谈判的前提；</w:t>
      </w:r>
    </w:p>
    <w:p>
      <w:pPr>
        <w:spacing w:line="360" w:lineRule="auto"/>
        <w:rPr>
          <w:rFonts w:asciiTheme="minorEastAsia" w:hAnsiTheme="minorEastAsia" w:eastAsiaTheme="minorEastAsia"/>
          <w:sz w:val="21"/>
          <w:szCs w:val="21"/>
        </w:rPr>
      </w:pPr>
      <w:r>
        <w:rPr>
          <w:rFonts w:hint="eastAsia" w:asciiTheme="minorEastAsia" w:hAnsiTheme="minorEastAsia" w:eastAsiaTheme="minorEastAsia"/>
          <w:sz w:val="21"/>
          <w:szCs w:val="21"/>
        </w:rPr>
        <w:t>4、学会在谈判中找准和利用对方的软肋；</w:t>
      </w:r>
    </w:p>
    <w:p>
      <w:pPr>
        <w:spacing w:line="360" w:lineRule="auto"/>
        <w:rPr>
          <w:rFonts w:asciiTheme="minorEastAsia" w:hAnsiTheme="minorEastAsia" w:eastAsiaTheme="minorEastAsia"/>
          <w:sz w:val="21"/>
          <w:szCs w:val="21"/>
        </w:rPr>
      </w:pPr>
      <w:r>
        <w:rPr>
          <w:rFonts w:hint="eastAsia" w:asciiTheme="minorEastAsia" w:hAnsiTheme="minorEastAsia" w:eastAsiaTheme="minorEastAsia"/>
          <w:sz w:val="21"/>
          <w:szCs w:val="21"/>
        </w:rPr>
        <w:t>5、掌握完美包装赔偿金额，通过让步以达成一致的方法；</w:t>
      </w:r>
    </w:p>
    <w:p>
      <w:pPr>
        <w:spacing w:line="360" w:lineRule="auto"/>
        <w:rPr>
          <w:rFonts w:asciiTheme="minorEastAsia" w:hAnsiTheme="minorEastAsia" w:eastAsiaTheme="minorEastAsia"/>
          <w:sz w:val="21"/>
          <w:szCs w:val="21"/>
        </w:rPr>
      </w:pPr>
      <w:r>
        <w:rPr>
          <w:rFonts w:hint="eastAsia" w:asciiTheme="minorEastAsia" w:hAnsiTheme="minorEastAsia" w:eastAsiaTheme="minorEastAsia"/>
          <w:sz w:val="21"/>
          <w:szCs w:val="21"/>
        </w:rPr>
        <w:t>6、学会运用抵御讨价还价的有效策略；</w:t>
      </w:r>
    </w:p>
    <w:p>
      <w:pPr>
        <w:spacing w:line="360" w:lineRule="auto"/>
        <w:rPr>
          <w:rFonts w:asciiTheme="minorEastAsia" w:hAnsiTheme="minorEastAsia" w:eastAsiaTheme="minorEastAsia"/>
          <w:sz w:val="21"/>
          <w:szCs w:val="21"/>
        </w:rPr>
      </w:pPr>
      <w:r>
        <w:rPr>
          <w:rFonts w:hint="eastAsia" w:ascii="宋体" w:hAnsi="宋体" w:cs="Times New Roman" w:eastAsiaTheme="minorEastAsia"/>
          <w:b/>
          <w:bCs/>
          <w:kern w:val="2"/>
          <w:sz w:val="24"/>
          <w:szCs w:val="24"/>
          <w:lang w:val="en-US" w:eastAsia="zh-CN" w:bidi="ar-SA"/>
        </w:rPr>
        <w:t>培训对象：</w:t>
      </w:r>
      <w:r>
        <w:rPr>
          <w:rFonts w:hint="eastAsia" w:asciiTheme="minorEastAsia" w:hAnsiTheme="minorEastAsia" w:eastAsiaTheme="minorEastAsia"/>
          <w:sz w:val="21"/>
          <w:szCs w:val="21"/>
        </w:rPr>
        <w:t>服务管理者、区域服务人员、</w:t>
      </w:r>
      <w:r>
        <w:rPr>
          <w:rFonts w:asciiTheme="minorEastAsia" w:hAnsiTheme="minorEastAsia" w:eastAsiaTheme="minorEastAsia"/>
          <w:sz w:val="21"/>
          <w:szCs w:val="21"/>
        </w:rPr>
        <w:t>大客户经理</w:t>
      </w:r>
    </w:p>
    <w:p>
      <w:pPr>
        <w:spacing w:line="360" w:lineRule="auto"/>
        <w:rPr>
          <w:rFonts w:asciiTheme="minorEastAsia" w:hAnsiTheme="minorEastAsia" w:eastAsiaTheme="minorEastAsia"/>
          <w:sz w:val="21"/>
          <w:szCs w:val="21"/>
        </w:rPr>
      </w:pPr>
      <w:r>
        <w:rPr>
          <w:rFonts w:hint="eastAsia" w:ascii="宋体" w:hAnsi="宋体" w:cs="Times New Roman" w:eastAsiaTheme="minorEastAsia"/>
          <w:b/>
          <w:bCs/>
          <w:kern w:val="2"/>
          <w:sz w:val="24"/>
          <w:szCs w:val="24"/>
          <w:lang w:val="en-US" w:eastAsia="zh-CN" w:bidi="ar-SA"/>
        </w:rPr>
        <w:t>培训时间</w:t>
      </w:r>
      <w:r>
        <w:rPr>
          <w:rFonts w:hint="eastAsia" w:asciiTheme="minorEastAsia" w:hAnsiTheme="minorEastAsia" w:eastAsiaTheme="minorEastAsia"/>
          <w:sz w:val="21"/>
          <w:szCs w:val="21"/>
        </w:rPr>
        <w:t>：</w:t>
      </w:r>
      <w:r>
        <w:rPr>
          <w:rFonts w:hint="eastAsia" w:asciiTheme="minorEastAsia" w:hAnsiTheme="minorEastAsia" w:eastAsiaTheme="minorEastAsia"/>
          <w:sz w:val="21"/>
          <w:szCs w:val="21"/>
          <w:lang w:val="en-US" w:eastAsia="zh-CN"/>
        </w:rPr>
        <w:t>1</w:t>
      </w:r>
      <w:r>
        <w:rPr>
          <w:rFonts w:hint="eastAsia" w:asciiTheme="minorEastAsia" w:hAnsiTheme="minorEastAsia" w:eastAsiaTheme="minorEastAsia"/>
          <w:sz w:val="21"/>
          <w:szCs w:val="21"/>
        </w:rPr>
        <w:t>天（</w:t>
      </w:r>
      <w:r>
        <w:rPr>
          <w:rFonts w:hint="eastAsia" w:asciiTheme="minorEastAsia" w:hAnsiTheme="minorEastAsia" w:eastAsiaTheme="minorEastAsia"/>
          <w:sz w:val="21"/>
          <w:szCs w:val="21"/>
          <w:lang w:val="en-US" w:eastAsia="zh-CN"/>
        </w:rPr>
        <w:t>6</w:t>
      </w:r>
      <w:r>
        <w:rPr>
          <w:rFonts w:hint="eastAsia" w:asciiTheme="minorEastAsia" w:hAnsiTheme="minorEastAsia" w:eastAsiaTheme="minorEastAsia"/>
          <w:sz w:val="21"/>
          <w:szCs w:val="21"/>
        </w:rPr>
        <w:t>小时）</w:t>
      </w:r>
    </w:p>
    <w:p>
      <w:pPr>
        <w:widowControl w:val="0"/>
        <w:spacing w:line="360" w:lineRule="auto"/>
        <w:jc w:val="both"/>
        <w:rPr>
          <w:rFonts w:hint="eastAsia" w:cs="Times New Roman" w:asciiTheme="minorEastAsia" w:hAnsiTheme="minorEastAsia" w:eastAsiaTheme="minorEastAsia"/>
          <w:b/>
          <w:kern w:val="2"/>
          <w:sz w:val="21"/>
          <w:szCs w:val="21"/>
        </w:rPr>
      </w:pPr>
      <w:r>
        <w:rPr>
          <w:rFonts w:hint="eastAsia" w:cs="Times New Roman" w:asciiTheme="minorEastAsia" w:hAnsiTheme="minorEastAsia" w:eastAsiaTheme="minorEastAsia"/>
          <w:b/>
          <w:kern w:val="2"/>
          <w:sz w:val="21"/>
          <w:szCs w:val="21"/>
        </w:rPr>
        <w:t xml:space="preserve">第一单元：客户投诉与索赔的特点及给企业带来的价值 </w:t>
      </w:r>
    </w:p>
    <w:p>
      <w:pPr>
        <w:numPr>
          <w:ilvl w:val="0"/>
          <w:numId w:val="2"/>
        </w:numPr>
        <w:shd w:val="clear" w:color="auto" w:fill="FFFFFF"/>
        <w:spacing w:line="360" w:lineRule="auto"/>
        <w:jc w:val="both"/>
        <w:rPr>
          <w:rFonts w:asciiTheme="minorEastAsia" w:hAnsiTheme="minorEastAsia"/>
          <w:bCs/>
          <w:color w:val="000000"/>
          <w:szCs w:val="21"/>
        </w:rPr>
      </w:pPr>
      <w:r>
        <w:rPr>
          <w:rFonts w:hint="eastAsia" w:asciiTheme="minorEastAsia" w:hAnsiTheme="minorEastAsia"/>
          <w:bCs/>
          <w:color w:val="000000"/>
          <w:szCs w:val="21"/>
        </w:rPr>
        <w:t>某保险客户投诉视频解析</w:t>
      </w:r>
    </w:p>
    <w:p>
      <w:pPr>
        <w:numPr>
          <w:ilvl w:val="0"/>
          <w:numId w:val="2"/>
        </w:numPr>
        <w:shd w:val="clear" w:color="auto" w:fill="FFFFFF"/>
        <w:spacing w:line="360" w:lineRule="auto"/>
        <w:jc w:val="both"/>
        <w:rPr>
          <w:rFonts w:asciiTheme="minorEastAsia" w:hAnsiTheme="minorEastAsia"/>
          <w:bCs/>
          <w:color w:val="000000"/>
          <w:szCs w:val="21"/>
        </w:rPr>
      </w:pPr>
      <w:r>
        <w:rPr>
          <w:rFonts w:hint="eastAsia" w:asciiTheme="minorEastAsia" w:hAnsiTheme="minorEastAsia"/>
          <w:bCs/>
          <w:color w:val="000000"/>
          <w:szCs w:val="21"/>
        </w:rPr>
        <w:t>客户满意=期望值-客户体验</w:t>
      </w:r>
    </w:p>
    <w:p>
      <w:pPr>
        <w:numPr>
          <w:ilvl w:val="0"/>
          <w:numId w:val="2"/>
        </w:numPr>
        <w:shd w:val="clear" w:color="auto" w:fill="FFFFFF"/>
        <w:spacing w:line="360" w:lineRule="auto"/>
        <w:jc w:val="both"/>
        <w:rPr>
          <w:rFonts w:asciiTheme="minorEastAsia" w:hAnsiTheme="minorEastAsia"/>
          <w:bCs/>
          <w:color w:val="000000"/>
          <w:szCs w:val="21"/>
        </w:rPr>
      </w:pPr>
      <w:r>
        <w:rPr>
          <w:rFonts w:hint="eastAsia" w:asciiTheme="minorEastAsia" w:hAnsiTheme="minorEastAsia"/>
          <w:bCs/>
          <w:color w:val="000000"/>
          <w:szCs w:val="21"/>
        </w:rPr>
        <w:t>从某保险事件谈多媒体时代客户的投诉的渠道多样性：电话投诉、营业网点投诉、消费者协会、微博、微信、政府热线、大v等</w:t>
      </w:r>
    </w:p>
    <w:p>
      <w:pPr>
        <w:numPr>
          <w:ilvl w:val="0"/>
          <w:numId w:val="2"/>
        </w:numPr>
        <w:shd w:val="clear" w:color="auto" w:fill="FFFFFF"/>
        <w:spacing w:line="360" w:lineRule="auto"/>
        <w:jc w:val="both"/>
        <w:rPr>
          <w:rFonts w:asciiTheme="minorEastAsia" w:hAnsiTheme="minorEastAsia"/>
          <w:bCs/>
          <w:color w:val="000000"/>
          <w:szCs w:val="21"/>
        </w:rPr>
      </w:pPr>
      <w:r>
        <w:rPr>
          <w:rFonts w:hint="eastAsia" w:asciiTheme="minorEastAsia" w:hAnsiTheme="minorEastAsia"/>
          <w:bCs/>
          <w:color w:val="000000"/>
          <w:szCs w:val="21"/>
        </w:rPr>
        <w:t>Vuca时代，客户的投诉是给到企业最好的礼物</w:t>
      </w:r>
    </w:p>
    <w:p>
      <w:pPr>
        <w:widowControl w:val="0"/>
        <w:spacing w:line="360" w:lineRule="auto"/>
        <w:jc w:val="both"/>
        <w:rPr>
          <w:rFonts w:hint="eastAsia" w:cs="Times New Roman" w:asciiTheme="minorEastAsia" w:hAnsiTheme="minorEastAsia" w:eastAsiaTheme="minorEastAsia"/>
          <w:b/>
          <w:kern w:val="2"/>
          <w:sz w:val="21"/>
          <w:szCs w:val="21"/>
        </w:rPr>
      </w:pPr>
      <w:r>
        <w:rPr>
          <w:rFonts w:hint="eastAsia" w:cs="Times New Roman" w:asciiTheme="minorEastAsia" w:hAnsiTheme="minorEastAsia" w:eastAsiaTheme="minorEastAsia"/>
          <w:b/>
          <w:kern w:val="2"/>
          <w:sz w:val="21"/>
          <w:szCs w:val="21"/>
        </w:rPr>
        <w:t>第二单元：客户投诉需求深入解析</w:t>
      </w:r>
    </w:p>
    <w:p>
      <w:pPr>
        <w:spacing w:line="360" w:lineRule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1、从客户对理赔条款不满意谈客户产生不满、抱怨、投诉的三大原因</w:t>
      </w:r>
    </w:p>
    <w:p>
      <w:pPr>
        <w:pStyle w:val="9"/>
        <w:numPr>
          <w:ilvl w:val="0"/>
          <w:numId w:val="3"/>
        </w:numPr>
        <w:spacing w:line="360" w:lineRule="auto"/>
        <w:ind w:firstLineChars="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主体--顾客自己的原因</w:t>
      </w:r>
    </w:p>
    <w:p>
      <w:pPr>
        <w:pStyle w:val="9"/>
        <w:numPr>
          <w:ilvl w:val="0"/>
          <w:numId w:val="3"/>
        </w:numPr>
        <w:spacing w:line="360" w:lineRule="auto"/>
        <w:ind w:firstLineChars="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客体--顾客对服务人员的服务态度及技巧不满</w:t>
      </w:r>
    </w:p>
    <w:p>
      <w:pPr>
        <w:pStyle w:val="9"/>
        <w:numPr>
          <w:ilvl w:val="0"/>
          <w:numId w:val="3"/>
        </w:numPr>
        <w:spacing w:line="360" w:lineRule="auto"/>
        <w:ind w:firstLineChars="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媒介--对产品和服务项目本身的不满</w:t>
      </w:r>
    </w:p>
    <w:p>
      <w:pPr>
        <w:spacing w:line="360" w:lineRule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2、客户抱怨产生的过程</w:t>
      </w:r>
    </w:p>
    <w:p>
      <w:pPr>
        <w:pStyle w:val="9"/>
        <w:numPr>
          <w:ilvl w:val="0"/>
          <w:numId w:val="4"/>
        </w:numPr>
        <w:spacing w:line="360" w:lineRule="auto"/>
        <w:ind w:firstLineChars="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由量的积累到质的飞跃；</w:t>
      </w:r>
    </w:p>
    <w:p>
      <w:pPr>
        <w:pStyle w:val="9"/>
        <w:numPr>
          <w:ilvl w:val="0"/>
          <w:numId w:val="4"/>
        </w:numPr>
        <w:spacing w:line="360" w:lineRule="auto"/>
        <w:ind w:firstLineChars="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潜在不满→即将转化为抱怨→显在化抱怨→潜在投诉→投诉</w:t>
      </w:r>
    </w:p>
    <w:p>
      <w:pPr>
        <w:widowControl w:val="0"/>
        <w:numPr>
          <w:ilvl w:val="0"/>
          <w:numId w:val="5"/>
        </w:numPr>
        <w:spacing w:line="360" w:lineRule="auto"/>
        <w:jc w:val="both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客户抱怨投诉的三种心理分析（除了客户的抱怨不仅需要掌握产品知识、公司行业甚至国家的政策，更需要洞悉客户的深层次心理需求）</w:t>
      </w:r>
    </w:p>
    <w:p>
      <w:pPr>
        <w:pStyle w:val="9"/>
        <w:numPr>
          <w:ilvl w:val="0"/>
          <w:numId w:val="6"/>
        </w:numPr>
        <w:spacing w:line="360" w:lineRule="auto"/>
        <w:ind w:firstLineChars="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求发泄的心理</w:t>
      </w:r>
    </w:p>
    <w:p>
      <w:pPr>
        <w:pStyle w:val="9"/>
        <w:numPr>
          <w:ilvl w:val="0"/>
          <w:numId w:val="6"/>
        </w:numPr>
        <w:spacing w:line="360" w:lineRule="auto"/>
        <w:ind w:firstLineChars="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求尊重的心理</w:t>
      </w:r>
    </w:p>
    <w:p>
      <w:pPr>
        <w:pStyle w:val="9"/>
        <w:numPr>
          <w:ilvl w:val="0"/>
          <w:numId w:val="6"/>
        </w:numPr>
        <w:spacing w:line="360" w:lineRule="auto"/>
        <w:ind w:firstLineChars="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求补偿的心理</w:t>
      </w:r>
    </w:p>
    <w:p>
      <w:pPr>
        <w:spacing w:line="360" w:lineRule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4、视频观看，超越客户满意的三大策略</w:t>
      </w:r>
    </w:p>
    <w:p>
      <w:pPr>
        <w:pStyle w:val="9"/>
        <w:numPr>
          <w:ilvl w:val="0"/>
          <w:numId w:val="7"/>
        </w:numPr>
        <w:spacing w:line="360" w:lineRule="auto"/>
        <w:ind w:firstLineChars="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提高服务品质</w:t>
      </w:r>
    </w:p>
    <w:p>
      <w:pPr>
        <w:pStyle w:val="9"/>
        <w:numPr>
          <w:ilvl w:val="0"/>
          <w:numId w:val="7"/>
        </w:numPr>
        <w:spacing w:line="360" w:lineRule="auto"/>
        <w:ind w:firstLineChars="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巧妙地降低客户期望值</w:t>
      </w:r>
    </w:p>
    <w:p>
      <w:pPr>
        <w:pStyle w:val="9"/>
        <w:numPr>
          <w:ilvl w:val="0"/>
          <w:numId w:val="7"/>
        </w:numPr>
        <w:spacing w:line="360" w:lineRule="auto"/>
        <w:ind w:firstLineChars="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精神情感层面满足</w:t>
      </w:r>
    </w:p>
    <w:p>
      <w:pPr>
        <w:widowControl w:val="0"/>
        <w:spacing w:line="360" w:lineRule="auto"/>
        <w:jc w:val="both"/>
        <w:rPr>
          <w:rFonts w:hint="eastAsia" w:cs="Times New Roman" w:asciiTheme="minorEastAsia" w:hAnsiTheme="minorEastAsia" w:eastAsiaTheme="minorEastAsia"/>
          <w:b/>
          <w:kern w:val="2"/>
          <w:sz w:val="21"/>
          <w:szCs w:val="21"/>
        </w:rPr>
      </w:pPr>
      <w:r>
        <w:rPr>
          <w:rFonts w:hint="eastAsia" w:cs="Times New Roman" w:asciiTheme="minorEastAsia" w:hAnsiTheme="minorEastAsia" w:eastAsiaTheme="minorEastAsia"/>
          <w:b/>
          <w:kern w:val="2"/>
          <w:sz w:val="21"/>
          <w:szCs w:val="21"/>
        </w:rPr>
        <w:t>第三单元：欣赏式探询之处理客户投诉的关键技能</w:t>
      </w:r>
    </w:p>
    <w:p>
      <w:pPr>
        <w:widowControl w:val="0"/>
        <w:numPr>
          <w:ilvl w:val="0"/>
          <w:numId w:val="8"/>
        </w:numPr>
        <w:spacing w:line="360" w:lineRule="auto"/>
        <w:jc w:val="both"/>
        <w:rPr>
          <w:rFonts w:hint="eastAsia" w:ascii="宋体" w:hAnsi="宋体" w:eastAsia="宋体" w:cs="宋体"/>
          <w:bCs/>
          <w:color w:val="000000" w:themeColor="text1"/>
          <w:sz w:val="21"/>
          <w:szCs w:val="21"/>
        </w:rPr>
      </w:pPr>
      <w:r>
        <w:rPr>
          <w:rFonts w:hint="eastAsia" w:ascii="宋体" w:hAnsi="宋体" w:eastAsia="宋体" w:cs="宋体"/>
          <w:bCs/>
          <w:color w:val="000000" w:themeColor="text1"/>
          <w:sz w:val="21"/>
          <w:szCs w:val="21"/>
        </w:rPr>
        <w:t>故事圆圈：小组成员之间回顾过去成功处理客户投诉的案例，解析，处理好客户投诉应该有哪些关键技能（学员一般会总结：聆听、认同、同理心）</w:t>
      </w:r>
    </w:p>
    <w:p>
      <w:pPr>
        <w:widowControl w:val="0"/>
        <w:numPr>
          <w:ilvl w:val="0"/>
          <w:numId w:val="8"/>
        </w:numPr>
        <w:spacing w:line="360" w:lineRule="auto"/>
        <w:jc w:val="both"/>
        <w:rPr>
          <w:rFonts w:hint="eastAsia" w:ascii="宋体" w:hAnsi="宋体" w:eastAsia="宋体" w:cs="宋体"/>
          <w:bCs/>
          <w:color w:val="000000" w:themeColor="text1"/>
          <w:sz w:val="21"/>
          <w:szCs w:val="21"/>
        </w:rPr>
      </w:pPr>
      <w:r>
        <w:rPr>
          <w:rFonts w:hint="eastAsia" w:ascii="宋体" w:hAnsi="宋体" w:eastAsia="宋体" w:cs="宋体"/>
          <w:bCs/>
          <w:color w:val="000000" w:themeColor="text1"/>
          <w:sz w:val="21"/>
          <w:szCs w:val="21"/>
        </w:rPr>
        <w:t>演练：聆听的五个层次及聆听对客户抱怨投诉为什么那么重要</w:t>
      </w:r>
    </w:p>
    <w:p>
      <w:pPr>
        <w:pStyle w:val="9"/>
        <w:numPr>
          <w:ilvl w:val="0"/>
          <w:numId w:val="9"/>
        </w:numPr>
        <w:spacing w:line="360" w:lineRule="auto"/>
        <w:ind w:firstLineChars="0"/>
        <w:rPr>
          <w:rFonts w:hint="eastAsia" w:ascii="宋体" w:hAnsi="宋体" w:eastAsia="宋体" w:cs="宋体"/>
          <w:bCs/>
          <w:color w:val="000000" w:themeColor="text1"/>
          <w:sz w:val="21"/>
          <w:szCs w:val="21"/>
        </w:rPr>
      </w:pPr>
      <w:r>
        <w:rPr>
          <w:rFonts w:hint="eastAsia" w:ascii="宋体" w:hAnsi="宋体" w:eastAsia="宋体" w:cs="宋体"/>
          <w:bCs/>
          <w:color w:val="000000" w:themeColor="text1"/>
          <w:sz w:val="21"/>
          <w:szCs w:val="21"/>
        </w:rPr>
        <w:t>现场聆听能力提升训练：三人小组</w:t>
      </w:r>
    </w:p>
    <w:p>
      <w:pPr>
        <w:widowControl w:val="0"/>
        <w:numPr>
          <w:ilvl w:val="0"/>
          <w:numId w:val="8"/>
        </w:numPr>
        <w:spacing w:line="360" w:lineRule="auto"/>
        <w:jc w:val="both"/>
        <w:rPr>
          <w:rFonts w:hint="eastAsia" w:ascii="宋体" w:hAnsi="宋体" w:eastAsia="宋体" w:cs="宋体"/>
          <w:bCs/>
          <w:color w:val="000000" w:themeColor="text1"/>
          <w:sz w:val="21"/>
          <w:szCs w:val="21"/>
        </w:rPr>
      </w:pPr>
      <w:r>
        <w:rPr>
          <w:rFonts w:hint="eastAsia" w:ascii="宋体" w:hAnsi="宋体" w:eastAsia="宋体" w:cs="宋体"/>
          <w:bCs/>
          <w:color w:val="000000" w:themeColor="text1"/>
          <w:sz w:val="21"/>
          <w:szCs w:val="21"/>
        </w:rPr>
        <w:t>演练：什么是认同及认同对客户的重要性</w:t>
      </w:r>
    </w:p>
    <w:p>
      <w:pPr>
        <w:pStyle w:val="9"/>
        <w:numPr>
          <w:ilvl w:val="0"/>
          <w:numId w:val="9"/>
        </w:numPr>
        <w:spacing w:line="360" w:lineRule="auto"/>
        <w:ind w:firstLineChars="0"/>
        <w:rPr>
          <w:rFonts w:hint="eastAsia" w:ascii="宋体" w:hAnsi="宋体" w:eastAsia="宋体" w:cs="宋体"/>
          <w:bCs/>
          <w:color w:val="000000" w:themeColor="text1"/>
          <w:sz w:val="21"/>
          <w:szCs w:val="21"/>
        </w:rPr>
      </w:pPr>
      <w:r>
        <w:rPr>
          <w:rFonts w:hint="eastAsia" w:ascii="宋体" w:hAnsi="宋体" w:eastAsia="宋体" w:cs="宋体"/>
          <w:bCs/>
          <w:color w:val="000000" w:themeColor="text1"/>
          <w:sz w:val="21"/>
          <w:szCs w:val="21"/>
        </w:rPr>
        <w:t>认同的几个维度及认同能力提升训练</w:t>
      </w:r>
    </w:p>
    <w:p>
      <w:pPr>
        <w:widowControl w:val="0"/>
        <w:numPr>
          <w:ilvl w:val="0"/>
          <w:numId w:val="8"/>
        </w:numPr>
        <w:spacing w:line="360" w:lineRule="auto"/>
        <w:jc w:val="both"/>
        <w:rPr>
          <w:rFonts w:hint="eastAsia" w:ascii="宋体" w:hAnsi="宋体" w:eastAsia="宋体" w:cs="宋体"/>
          <w:bCs/>
          <w:color w:val="000000" w:themeColor="text1"/>
          <w:sz w:val="21"/>
          <w:szCs w:val="21"/>
        </w:rPr>
      </w:pPr>
      <w:r>
        <w:rPr>
          <w:rFonts w:hint="eastAsia" w:ascii="宋体" w:hAnsi="宋体" w:eastAsia="宋体" w:cs="宋体"/>
          <w:bCs/>
          <w:color w:val="000000" w:themeColor="text1"/>
          <w:sz w:val="21"/>
          <w:szCs w:val="21"/>
        </w:rPr>
        <w:t>来电录音分析：同理心四个版本及在客户服务中的重要性</w:t>
      </w:r>
    </w:p>
    <w:p>
      <w:pPr>
        <w:widowControl w:val="0"/>
        <w:numPr>
          <w:ilvl w:val="0"/>
          <w:numId w:val="8"/>
        </w:numPr>
        <w:spacing w:line="360" w:lineRule="auto"/>
        <w:jc w:val="both"/>
        <w:rPr>
          <w:rFonts w:hint="eastAsia" w:ascii="宋体" w:hAnsi="宋体" w:eastAsia="宋体" w:cs="宋体"/>
          <w:bCs/>
          <w:color w:val="000000" w:themeColor="text1"/>
          <w:sz w:val="21"/>
          <w:szCs w:val="21"/>
        </w:rPr>
      </w:pPr>
      <w:r>
        <w:rPr>
          <w:rFonts w:hint="eastAsia" w:ascii="宋体" w:hAnsi="宋体" w:eastAsia="宋体" w:cs="宋体"/>
          <w:bCs/>
          <w:color w:val="000000" w:themeColor="text1"/>
          <w:sz w:val="21"/>
          <w:szCs w:val="21"/>
        </w:rPr>
        <w:t>坚持正面的表达</w:t>
      </w:r>
    </w:p>
    <w:p>
      <w:pPr>
        <w:widowControl w:val="0"/>
        <w:numPr>
          <w:ilvl w:val="0"/>
          <w:numId w:val="8"/>
        </w:numPr>
        <w:spacing w:line="360" w:lineRule="auto"/>
        <w:jc w:val="both"/>
        <w:rPr>
          <w:rFonts w:hint="eastAsia" w:ascii="宋体" w:hAnsi="宋体" w:eastAsia="宋体" w:cs="宋体"/>
          <w:bCs/>
          <w:color w:val="000000" w:themeColor="text1"/>
          <w:sz w:val="21"/>
          <w:szCs w:val="21"/>
        </w:rPr>
      </w:pPr>
      <w:r>
        <w:rPr>
          <w:rFonts w:hint="eastAsia" w:ascii="宋体" w:hAnsi="宋体" w:eastAsia="宋体" w:cs="宋体"/>
          <w:bCs/>
          <w:color w:val="000000" w:themeColor="text1"/>
          <w:sz w:val="21"/>
          <w:szCs w:val="21"/>
        </w:rPr>
        <w:t>基于客户利益的表达</w:t>
      </w:r>
    </w:p>
    <w:p>
      <w:pPr>
        <w:widowControl w:val="0"/>
        <w:numPr>
          <w:ilvl w:val="0"/>
          <w:numId w:val="8"/>
        </w:numPr>
        <w:spacing w:line="360" w:lineRule="auto"/>
        <w:jc w:val="both"/>
        <w:rPr>
          <w:rFonts w:hint="eastAsia" w:ascii="宋体" w:hAnsi="宋体" w:eastAsia="宋体" w:cs="宋体"/>
          <w:bCs/>
          <w:color w:val="000000" w:themeColor="text1"/>
          <w:sz w:val="21"/>
          <w:szCs w:val="21"/>
        </w:rPr>
      </w:pPr>
      <w:r>
        <w:rPr>
          <w:rFonts w:hint="eastAsia" w:ascii="宋体" w:hAnsi="宋体" w:eastAsia="宋体" w:cs="宋体"/>
          <w:bCs/>
          <w:color w:val="000000" w:themeColor="text1"/>
          <w:sz w:val="21"/>
          <w:szCs w:val="21"/>
        </w:rPr>
        <w:t>说服的5个步骤</w:t>
      </w:r>
    </w:p>
    <w:p>
      <w:pPr>
        <w:widowControl w:val="0"/>
        <w:spacing w:line="360" w:lineRule="auto"/>
        <w:jc w:val="both"/>
        <w:rPr>
          <w:rFonts w:hint="eastAsia" w:cs="Times New Roman" w:asciiTheme="minorEastAsia" w:hAnsiTheme="minorEastAsia" w:eastAsiaTheme="minorEastAsia"/>
          <w:b/>
          <w:kern w:val="2"/>
          <w:sz w:val="21"/>
          <w:szCs w:val="21"/>
        </w:rPr>
      </w:pPr>
      <w:r>
        <w:rPr>
          <w:rFonts w:hint="eastAsia" w:cs="Times New Roman" w:asciiTheme="minorEastAsia" w:hAnsiTheme="minorEastAsia" w:eastAsiaTheme="minorEastAsia"/>
          <w:b/>
          <w:kern w:val="2"/>
          <w:sz w:val="21"/>
          <w:szCs w:val="21"/>
        </w:rPr>
        <w:t>第四单元：顾客抱怨投诉原则和步骤</w:t>
      </w:r>
    </w:p>
    <w:p>
      <w:pPr>
        <w:widowControl w:val="0"/>
        <w:numPr>
          <w:ilvl w:val="0"/>
          <w:numId w:val="10"/>
        </w:numPr>
        <w:spacing w:line="360" w:lineRule="auto"/>
        <w:jc w:val="both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处理客户投诉的原则：先处理心情，再处理事情；</w:t>
      </w:r>
    </w:p>
    <w:p>
      <w:pPr>
        <w:widowControl w:val="0"/>
        <w:numPr>
          <w:ilvl w:val="0"/>
          <w:numId w:val="10"/>
        </w:numPr>
        <w:spacing w:line="360" w:lineRule="auto"/>
        <w:jc w:val="both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从三脑结构的角度解析投诉的原则，为什么要先处理心情，后处理事情</w:t>
      </w:r>
    </w:p>
    <w:p>
      <w:pPr>
        <w:spacing w:line="360" w:lineRule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3、避免8种错误处理顾客抱怨的方式</w:t>
      </w:r>
    </w:p>
    <w:p>
      <w:pPr>
        <w:spacing w:line="360" w:lineRule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4、顾客抱怨投诉处理的六步骤：</w:t>
      </w:r>
    </w:p>
    <w:p>
      <w:pPr>
        <w:pStyle w:val="9"/>
        <w:numPr>
          <w:ilvl w:val="0"/>
          <w:numId w:val="11"/>
        </w:numPr>
        <w:spacing w:line="360" w:lineRule="auto"/>
        <w:ind w:firstLineChars="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迅速隔离</w:t>
      </w:r>
    </w:p>
    <w:p>
      <w:pPr>
        <w:pStyle w:val="9"/>
        <w:numPr>
          <w:ilvl w:val="0"/>
          <w:numId w:val="11"/>
        </w:numPr>
        <w:spacing w:line="360" w:lineRule="auto"/>
        <w:ind w:firstLineChars="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耐心倾听</w:t>
      </w:r>
    </w:p>
    <w:p>
      <w:pPr>
        <w:pStyle w:val="9"/>
        <w:numPr>
          <w:ilvl w:val="0"/>
          <w:numId w:val="11"/>
        </w:numPr>
        <w:spacing w:line="360" w:lineRule="auto"/>
        <w:ind w:firstLineChars="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表示同情理解并真情致歉</w:t>
      </w:r>
    </w:p>
    <w:p>
      <w:pPr>
        <w:pStyle w:val="9"/>
        <w:numPr>
          <w:ilvl w:val="0"/>
          <w:numId w:val="11"/>
        </w:numPr>
        <w:spacing w:line="360" w:lineRule="auto"/>
        <w:ind w:firstLineChars="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分析原因</w:t>
      </w:r>
    </w:p>
    <w:p>
      <w:pPr>
        <w:pStyle w:val="9"/>
        <w:numPr>
          <w:ilvl w:val="0"/>
          <w:numId w:val="11"/>
        </w:numPr>
        <w:spacing w:line="360" w:lineRule="auto"/>
        <w:ind w:firstLineChars="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提出公平化解方案</w:t>
      </w:r>
    </w:p>
    <w:p>
      <w:pPr>
        <w:pStyle w:val="9"/>
        <w:numPr>
          <w:ilvl w:val="0"/>
          <w:numId w:val="11"/>
        </w:numPr>
        <w:spacing w:line="360" w:lineRule="auto"/>
        <w:ind w:firstLineChars="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获得认同立即执行</w:t>
      </w:r>
    </w:p>
    <w:p>
      <w:pPr>
        <w:pStyle w:val="9"/>
        <w:numPr>
          <w:ilvl w:val="0"/>
          <w:numId w:val="11"/>
        </w:numPr>
        <w:spacing w:line="360" w:lineRule="auto"/>
        <w:ind w:firstLineChars="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跟进实施</w:t>
      </w:r>
    </w:p>
    <w:p>
      <w:pPr>
        <w:widowControl w:val="0"/>
        <w:spacing w:line="360" w:lineRule="auto"/>
        <w:jc w:val="both"/>
        <w:rPr>
          <w:rFonts w:hint="eastAsia" w:cs="Times New Roman" w:asciiTheme="minorEastAsia" w:hAnsiTheme="minorEastAsia" w:eastAsiaTheme="minorEastAsia"/>
          <w:b/>
          <w:kern w:val="2"/>
          <w:sz w:val="21"/>
          <w:szCs w:val="21"/>
        </w:rPr>
      </w:pPr>
      <w:r>
        <w:rPr>
          <w:rFonts w:hint="eastAsia" w:cs="Times New Roman" w:asciiTheme="minorEastAsia" w:hAnsiTheme="minorEastAsia" w:eastAsiaTheme="minorEastAsia"/>
          <w:b/>
          <w:kern w:val="2"/>
          <w:sz w:val="21"/>
          <w:szCs w:val="21"/>
        </w:rPr>
        <w:t>第五单元：客户投诉处理的策略和技巧</w:t>
      </w:r>
    </w:p>
    <w:p>
      <w:pPr>
        <w:pStyle w:val="9"/>
        <w:spacing w:line="360" w:lineRule="auto"/>
        <w:ind w:firstLine="0" w:firstLineChars="0"/>
        <w:rPr>
          <w:rFonts w:hint="eastAsia" w:ascii="宋体" w:hAnsi="宋体" w:eastAsia="宋体" w:cs="宋体"/>
          <w:sz w:val="21"/>
          <w:szCs w:val="21"/>
        </w:rPr>
      </w:pPr>
      <w:bookmarkStart w:id="0" w:name="_GoBack"/>
      <w:r>
        <w:rPr>
          <w:rFonts w:hint="eastAsia" w:ascii="宋体" w:hAnsi="宋体" w:eastAsia="宋体" w:cs="宋体"/>
          <w:sz w:val="21"/>
          <w:szCs w:val="21"/>
        </w:rPr>
        <w:t>1、处理客户抱怨投诉的三个关键策略：身份、情感、逻辑</w:t>
      </w:r>
    </w:p>
    <w:p>
      <w:pPr>
        <w:pStyle w:val="9"/>
        <w:numPr>
          <w:ilvl w:val="0"/>
          <w:numId w:val="12"/>
        </w:numPr>
        <w:spacing w:line="360" w:lineRule="auto"/>
        <w:ind w:firstLineChars="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从身份的角度，学会灵活运用“身份”，卸下客户的防御心理，形成统一战线</w:t>
      </w:r>
    </w:p>
    <w:p>
      <w:pPr>
        <w:pStyle w:val="9"/>
        <w:numPr>
          <w:ilvl w:val="0"/>
          <w:numId w:val="12"/>
        </w:numPr>
        <w:spacing w:line="360" w:lineRule="auto"/>
        <w:ind w:firstLineChars="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从情感的角度解析，如何激发客户积极正面情感，让客户有宽容的心及合作的意愿</w:t>
      </w:r>
    </w:p>
    <w:p>
      <w:pPr>
        <w:pStyle w:val="9"/>
        <w:numPr>
          <w:ilvl w:val="0"/>
          <w:numId w:val="12"/>
        </w:numPr>
        <w:spacing w:line="360" w:lineRule="auto"/>
        <w:ind w:firstLineChars="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说服的逻辑：FABE策略、文不如数、数不如图、讲故事及对比策略</w:t>
      </w:r>
    </w:p>
    <w:p>
      <w:pPr>
        <w:pStyle w:val="9"/>
        <w:spacing w:line="360" w:lineRule="auto"/>
        <w:ind w:firstLine="0" w:firstLineChars="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2、群体心理学重要的原则：互惠、社会认同、权威、承诺一致、喜好原则、短缺原则</w:t>
      </w:r>
    </w:p>
    <w:p>
      <w:pPr>
        <w:spacing w:line="360" w:lineRule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4、痛点站位：客户投诉公司的保险政策不合理、客户投诉服务人员态度差、客户因收益没有达到预期而质疑公司等</w:t>
      </w:r>
    </w:p>
    <w:p>
      <w:pPr>
        <w:spacing w:line="360" w:lineRule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5、巧妙降低客户期望值技巧</w:t>
      </w:r>
    </w:p>
    <w:p>
      <w:pPr>
        <w:pStyle w:val="9"/>
        <w:numPr>
          <w:ilvl w:val="0"/>
          <w:numId w:val="13"/>
        </w:numPr>
        <w:spacing w:line="360" w:lineRule="auto"/>
        <w:ind w:firstLineChars="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巧妙诉苦法</w:t>
      </w:r>
    </w:p>
    <w:p>
      <w:pPr>
        <w:pStyle w:val="9"/>
        <w:numPr>
          <w:ilvl w:val="0"/>
          <w:numId w:val="13"/>
        </w:numPr>
        <w:spacing w:line="360" w:lineRule="auto"/>
        <w:ind w:firstLineChars="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表示理解法</w:t>
      </w:r>
    </w:p>
    <w:p>
      <w:pPr>
        <w:pStyle w:val="9"/>
        <w:numPr>
          <w:ilvl w:val="0"/>
          <w:numId w:val="13"/>
        </w:numPr>
        <w:spacing w:line="360" w:lineRule="auto"/>
        <w:ind w:firstLineChars="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巧妙请教法</w:t>
      </w:r>
    </w:p>
    <w:p>
      <w:pPr>
        <w:pStyle w:val="9"/>
        <w:numPr>
          <w:ilvl w:val="0"/>
          <w:numId w:val="13"/>
        </w:numPr>
        <w:spacing w:line="360" w:lineRule="auto"/>
        <w:ind w:firstLineChars="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同一战线法</w:t>
      </w:r>
    </w:p>
    <w:p>
      <w:pPr>
        <w:spacing w:line="360" w:lineRule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6、当我们无法满足客户的时候……</w:t>
      </w:r>
    </w:p>
    <w:p>
      <w:pPr>
        <w:pStyle w:val="9"/>
        <w:numPr>
          <w:ilvl w:val="0"/>
          <w:numId w:val="14"/>
        </w:numPr>
        <w:spacing w:line="360" w:lineRule="auto"/>
        <w:ind w:firstLineChars="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替代方案</w:t>
      </w:r>
    </w:p>
    <w:p>
      <w:pPr>
        <w:pStyle w:val="9"/>
        <w:numPr>
          <w:ilvl w:val="0"/>
          <w:numId w:val="14"/>
        </w:numPr>
        <w:spacing w:line="360" w:lineRule="auto"/>
        <w:ind w:firstLineChars="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巧妙示弱</w:t>
      </w:r>
    </w:p>
    <w:p>
      <w:pPr>
        <w:pStyle w:val="9"/>
        <w:numPr>
          <w:ilvl w:val="0"/>
          <w:numId w:val="14"/>
        </w:numPr>
        <w:spacing w:line="360" w:lineRule="auto"/>
        <w:ind w:firstLineChars="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巧妙转移</w:t>
      </w:r>
    </w:p>
    <w:bookmarkEnd w:id="0"/>
    <w:p>
      <w:pPr>
        <w:widowControl w:val="0"/>
        <w:spacing w:line="360" w:lineRule="auto"/>
        <w:jc w:val="both"/>
        <w:rPr>
          <w:rFonts w:hint="eastAsia" w:cs="Times New Roman" w:asciiTheme="minorEastAsia" w:hAnsiTheme="minorEastAsia" w:eastAsiaTheme="minorEastAsia"/>
          <w:b/>
          <w:kern w:val="2"/>
          <w:sz w:val="21"/>
          <w:szCs w:val="21"/>
        </w:rPr>
      </w:pPr>
      <w:r>
        <w:rPr>
          <w:rFonts w:hint="eastAsia" w:cs="Times New Roman" w:asciiTheme="minorEastAsia" w:hAnsiTheme="minorEastAsia" w:eastAsiaTheme="minorEastAsia"/>
          <w:b/>
          <w:kern w:val="2"/>
          <w:sz w:val="21"/>
          <w:szCs w:val="21"/>
        </w:rPr>
        <w:t>第六单元：投诉索赔谈判核心要素</w:t>
      </w:r>
    </w:p>
    <w:p>
      <w:pPr>
        <w:spacing w:line="360" w:lineRule="auto"/>
        <w:rPr>
          <w:rFonts w:asciiTheme="minorEastAsia" w:hAnsiTheme="minorEastAsia" w:eastAsiaTheme="minorEastAsia"/>
          <w:sz w:val="21"/>
          <w:szCs w:val="21"/>
        </w:rPr>
      </w:pPr>
      <w:r>
        <w:rPr>
          <w:rFonts w:hint="eastAsia" w:asciiTheme="minorEastAsia" w:hAnsiTheme="minorEastAsia" w:eastAsiaTheme="minorEastAsia"/>
          <w:sz w:val="21"/>
          <w:szCs w:val="21"/>
        </w:rPr>
        <w:t>1、投诉索赔谈判关键在双赢</w:t>
      </w:r>
    </w:p>
    <w:p>
      <w:pPr>
        <w:spacing w:line="360" w:lineRule="auto"/>
        <w:rPr>
          <w:rFonts w:asciiTheme="minorEastAsia" w:hAnsiTheme="minorEastAsia" w:eastAsiaTheme="minorEastAsia"/>
          <w:sz w:val="21"/>
          <w:szCs w:val="21"/>
        </w:rPr>
      </w:pPr>
      <w:r>
        <w:rPr>
          <w:rFonts w:hint="eastAsia" w:asciiTheme="minorEastAsia" w:hAnsiTheme="minorEastAsia" w:eastAsiaTheme="minorEastAsia"/>
          <w:sz w:val="21"/>
          <w:szCs w:val="21"/>
        </w:rPr>
        <w:t>2、谈判三要素：实力、时间和信息</w:t>
      </w:r>
    </w:p>
    <w:p>
      <w:pPr>
        <w:spacing w:line="360" w:lineRule="auto"/>
        <w:rPr>
          <w:rFonts w:asciiTheme="minorEastAsia" w:hAnsiTheme="minorEastAsia" w:eastAsiaTheme="minorEastAsia"/>
          <w:sz w:val="21"/>
          <w:szCs w:val="21"/>
        </w:rPr>
      </w:pPr>
      <w:r>
        <w:rPr>
          <w:rFonts w:hint="eastAsia" w:asciiTheme="minorEastAsia" w:hAnsiTheme="minorEastAsia" w:eastAsiaTheme="minorEastAsia"/>
          <w:sz w:val="21"/>
          <w:szCs w:val="21"/>
        </w:rPr>
        <w:t>3、掌握建立强大实力的方法</w:t>
      </w:r>
    </w:p>
    <w:p>
      <w:pPr>
        <w:spacing w:line="360" w:lineRule="auto"/>
        <w:rPr>
          <w:rFonts w:asciiTheme="minorEastAsia" w:hAnsiTheme="minorEastAsia" w:eastAsiaTheme="minorEastAsia"/>
          <w:sz w:val="21"/>
          <w:szCs w:val="21"/>
        </w:rPr>
      </w:pPr>
      <w:r>
        <w:rPr>
          <w:rFonts w:hint="eastAsia" w:asciiTheme="minorEastAsia" w:hAnsiTheme="minorEastAsia" w:eastAsiaTheme="minorEastAsia"/>
          <w:sz w:val="21"/>
          <w:szCs w:val="21"/>
        </w:rPr>
        <w:t>4、投诉处理者的三种优势及运用原则：耐心、节奏、时机；</w:t>
      </w:r>
    </w:p>
    <w:p>
      <w:pPr>
        <w:spacing w:line="360" w:lineRule="auto"/>
        <w:rPr>
          <w:rFonts w:asciiTheme="minorEastAsia" w:hAnsiTheme="minorEastAsia" w:eastAsiaTheme="minorEastAsia"/>
          <w:sz w:val="21"/>
          <w:szCs w:val="21"/>
        </w:rPr>
      </w:pPr>
      <w:r>
        <w:rPr>
          <w:rFonts w:hint="eastAsia" w:asciiTheme="minorEastAsia" w:hAnsiTheme="minorEastAsia" w:eastAsiaTheme="minorEastAsia"/>
          <w:sz w:val="21"/>
          <w:szCs w:val="21"/>
        </w:rPr>
        <w:t>5、成功谈判家的特质：说话柔和，手握大棒；</w:t>
      </w:r>
    </w:p>
    <w:p>
      <w:pPr>
        <w:widowControl w:val="0"/>
        <w:spacing w:line="360" w:lineRule="auto"/>
        <w:jc w:val="both"/>
        <w:rPr>
          <w:rFonts w:hint="eastAsia" w:cs="Times New Roman" w:asciiTheme="minorEastAsia" w:hAnsiTheme="minorEastAsia" w:eastAsiaTheme="minorEastAsia"/>
          <w:b/>
          <w:kern w:val="2"/>
          <w:sz w:val="21"/>
          <w:szCs w:val="21"/>
        </w:rPr>
      </w:pPr>
      <w:r>
        <w:rPr>
          <w:rFonts w:hint="eastAsia" w:cs="Times New Roman" w:asciiTheme="minorEastAsia" w:hAnsiTheme="minorEastAsia" w:eastAsiaTheme="minorEastAsia"/>
          <w:b/>
          <w:kern w:val="2"/>
          <w:sz w:val="21"/>
          <w:szCs w:val="21"/>
        </w:rPr>
        <w:t>第七单元：赔偿谈判的秘诀</w:t>
      </w:r>
    </w:p>
    <w:p>
      <w:pPr>
        <w:spacing w:line="360" w:lineRule="auto"/>
        <w:rPr>
          <w:rFonts w:asciiTheme="minorEastAsia" w:hAnsiTheme="minorEastAsia" w:eastAsiaTheme="minorEastAsia"/>
          <w:sz w:val="21"/>
          <w:szCs w:val="21"/>
        </w:rPr>
      </w:pPr>
      <w:r>
        <w:rPr>
          <w:rFonts w:hint="eastAsia" w:asciiTheme="minorEastAsia" w:hAnsiTheme="minorEastAsia" w:eastAsiaTheme="minorEastAsia"/>
          <w:sz w:val="21"/>
          <w:szCs w:val="21"/>
        </w:rPr>
        <w:t>1、索赔谈判，消除心理畏惧是关键；</w:t>
      </w:r>
    </w:p>
    <w:p>
      <w:pPr>
        <w:spacing w:line="360" w:lineRule="auto"/>
        <w:rPr>
          <w:rFonts w:asciiTheme="minorEastAsia" w:hAnsiTheme="minorEastAsia" w:eastAsiaTheme="minorEastAsia"/>
          <w:sz w:val="21"/>
          <w:szCs w:val="21"/>
        </w:rPr>
      </w:pPr>
      <w:r>
        <w:rPr>
          <w:rFonts w:hint="eastAsia" w:asciiTheme="minorEastAsia" w:hAnsiTheme="minorEastAsia" w:eastAsiaTheme="minorEastAsia"/>
          <w:sz w:val="21"/>
          <w:szCs w:val="21"/>
        </w:rPr>
        <w:t>2、解决赔偿谈判的5大难题；</w:t>
      </w:r>
    </w:p>
    <w:p>
      <w:pPr>
        <w:spacing w:line="360" w:lineRule="auto"/>
        <w:rPr>
          <w:rFonts w:asciiTheme="minorEastAsia" w:hAnsiTheme="minorEastAsia" w:eastAsiaTheme="minorEastAsia"/>
          <w:sz w:val="21"/>
          <w:szCs w:val="21"/>
        </w:rPr>
      </w:pPr>
      <w:r>
        <w:rPr>
          <w:rFonts w:hint="eastAsia" w:asciiTheme="minorEastAsia" w:hAnsiTheme="minorEastAsia" w:eastAsiaTheme="minorEastAsia"/>
          <w:sz w:val="21"/>
          <w:szCs w:val="21"/>
        </w:rPr>
        <w:t>3、树立更重要的观念：金额不起主导作用，重要的是决策人的利益！</w:t>
      </w:r>
    </w:p>
    <w:p>
      <w:pPr>
        <w:spacing w:line="360" w:lineRule="auto"/>
        <w:rPr>
          <w:rFonts w:asciiTheme="minorEastAsia" w:hAnsiTheme="minorEastAsia" w:eastAsiaTheme="minorEastAsia"/>
          <w:sz w:val="21"/>
          <w:szCs w:val="21"/>
        </w:rPr>
      </w:pPr>
      <w:r>
        <w:rPr>
          <w:rFonts w:hint="eastAsia" w:asciiTheme="minorEastAsia" w:hAnsiTheme="minorEastAsia" w:eastAsiaTheme="minorEastAsia"/>
          <w:sz w:val="21"/>
          <w:szCs w:val="21"/>
        </w:rPr>
        <w:t>4、报价的时机比报价的内容更重要。</w:t>
      </w:r>
    </w:p>
    <w:p>
      <w:pPr>
        <w:spacing w:line="360" w:lineRule="auto"/>
        <w:rPr>
          <w:rFonts w:asciiTheme="minorEastAsia" w:hAnsiTheme="minorEastAsia" w:eastAsiaTheme="minorEastAsia"/>
          <w:sz w:val="21"/>
          <w:szCs w:val="21"/>
        </w:rPr>
      </w:pPr>
      <w:r>
        <w:rPr>
          <w:rFonts w:hint="eastAsia" w:asciiTheme="minorEastAsia" w:hAnsiTheme="minorEastAsia" w:eastAsiaTheme="minorEastAsia"/>
          <w:sz w:val="21"/>
          <w:szCs w:val="21"/>
        </w:rPr>
        <w:t>5、精心“打扮”金额，引导客户接受我们的让步；</w:t>
      </w:r>
    </w:p>
    <w:p>
      <w:pPr>
        <w:spacing w:line="360" w:lineRule="auto"/>
        <w:rPr>
          <w:rFonts w:asciiTheme="minorEastAsia" w:hAnsiTheme="minorEastAsia" w:eastAsiaTheme="minorEastAsia"/>
          <w:sz w:val="21"/>
          <w:szCs w:val="21"/>
        </w:rPr>
      </w:pPr>
      <w:r>
        <w:rPr>
          <w:rFonts w:hint="eastAsia" w:asciiTheme="minorEastAsia" w:hAnsiTheme="minorEastAsia" w:eastAsiaTheme="minorEastAsia"/>
          <w:sz w:val="21"/>
          <w:szCs w:val="21"/>
        </w:rPr>
        <w:t>6、练习用价格界限、折扣、包装、分级等措施报价；</w:t>
      </w:r>
    </w:p>
    <w:p>
      <w:pPr>
        <w:spacing w:line="360" w:lineRule="auto"/>
        <w:rPr>
          <w:rFonts w:asciiTheme="minorEastAsia" w:hAnsiTheme="minorEastAsia" w:eastAsiaTheme="minorEastAsia"/>
          <w:sz w:val="21"/>
          <w:szCs w:val="21"/>
        </w:rPr>
      </w:pPr>
      <w:r>
        <w:rPr>
          <w:rFonts w:hint="eastAsia" w:asciiTheme="minorEastAsia" w:hAnsiTheme="minorEastAsia" w:eastAsiaTheme="minorEastAsia"/>
          <w:sz w:val="21"/>
          <w:szCs w:val="21"/>
        </w:rPr>
        <w:t>7、客户说：“太少了！”，你平时是如何应对的？</w:t>
      </w:r>
    </w:p>
    <w:p>
      <w:pPr>
        <w:widowControl w:val="0"/>
        <w:spacing w:line="360" w:lineRule="auto"/>
        <w:jc w:val="both"/>
        <w:rPr>
          <w:rFonts w:hint="eastAsia" w:cs="Times New Roman" w:asciiTheme="minorEastAsia" w:hAnsiTheme="minorEastAsia" w:eastAsiaTheme="minorEastAsia"/>
          <w:b/>
          <w:kern w:val="2"/>
          <w:sz w:val="21"/>
          <w:szCs w:val="21"/>
        </w:rPr>
      </w:pPr>
      <w:r>
        <w:rPr>
          <w:rFonts w:hint="eastAsia" w:cs="Times New Roman" w:asciiTheme="minorEastAsia" w:hAnsiTheme="minorEastAsia" w:eastAsiaTheme="minorEastAsia"/>
          <w:b/>
          <w:kern w:val="2"/>
          <w:sz w:val="21"/>
          <w:szCs w:val="21"/>
        </w:rPr>
        <w:t>第八单元：索赔谈判策略 （案例，客户因逾期，进行索赔）</w:t>
      </w:r>
    </w:p>
    <w:p>
      <w:pPr>
        <w:spacing w:line="360" w:lineRule="auto"/>
        <w:rPr>
          <w:rFonts w:asciiTheme="minorEastAsia" w:hAnsiTheme="minorEastAsia" w:eastAsiaTheme="minorEastAsia"/>
          <w:sz w:val="21"/>
          <w:szCs w:val="21"/>
        </w:rPr>
      </w:pPr>
      <w:r>
        <w:rPr>
          <w:rFonts w:hint="eastAsia" w:asciiTheme="minorEastAsia" w:hAnsiTheme="minorEastAsia" w:eastAsiaTheme="minorEastAsia"/>
          <w:sz w:val="21"/>
          <w:szCs w:val="21"/>
        </w:rPr>
        <w:t>1、限时谈判策略</w:t>
      </w:r>
    </w:p>
    <w:p>
      <w:pPr>
        <w:spacing w:line="360" w:lineRule="auto"/>
        <w:rPr>
          <w:rFonts w:asciiTheme="minorEastAsia" w:hAnsiTheme="minorEastAsia" w:eastAsiaTheme="minorEastAsia"/>
          <w:sz w:val="21"/>
          <w:szCs w:val="21"/>
        </w:rPr>
      </w:pPr>
      <w:r>
        <w:rPr>
          <w:rFonts w:hint="eastAsia" w:asciiTheme="minorEastAsia" w:hAnsiTheme="minorEastAsia" w:eastAsiaTheme="minorEastAsia"/>
          <w:sz w:val="21"/>
          <w:szCs w:val="21"/>
        </w:rPr>
        <w:t>2、丢车保帅策略</w:t>
      </w:r>
    </w:p>
    <w:p>
      <w:pPr>
        <w:spacing w:line="360" w:lineRule="auto"/>
        <w:rPr>
          <w:rFonts w:asciiTheme="minorEastAsia" w:hAnsiTheme="minorEastAsia" w:eastAsiaTheme="minorEastAsia"/>
          <w:sz w:val="21"/>
          <w:szCs w:val="21"/>
        </w:rPr>
      </w:pPr>
      <w:r>
        <w:rPr>
          <w:rFonts w:hint="eastAsia" w:asciiTheme="minorEastAsia" w:hAnsiTheme="minorEastAsia" w:eastAsiaTheme="minorEastAsia"/>
          <w:sz w:val="21"/>
          <w:szCs w:val="21"/>
        </w:rPr>
        <w:t>3、上级权利策略</w:t>
      </w:r>
    </w:p>
    <w:p>
      <w:pPr>
        <w:spacing w:line="360" w:lineRule="auto"/>
        <w:rPr>
          <w:rFonts w:asciiTheme="minorEastAsia" w:hAnsiTheme="minorEastAsia" w:eastAsiaTheme="minorEastAsia"/>
          <w:sz w:val="21"/>
          <w:szCs w:val="21"/>
        </w:rPr>
      </w:pPr>
      <w:r>
        <w:rPr>
          <w:rFonts w:hint="eastAsia" w:asciiTheme="minorEastAsia" w:hAnsiTheme="minorEastAsia" w:eastAsiaTheme="minorEastAsia"/>
          <w:sz w:val="21"/>
          <w:szCs w:val="21"/>
        </w:rPr>
        <w:t>4、利弊分析策略</w:t>
      </w:r>
    </w:p>
    <w:p>
      <w:pPr>
        <w:spacing w:line="360" w:lineRule="auto"/>
        <w:rPr>
          <w:rFonts w:asciiTheme="minorEastAsia" w:hAnsiTheme="minorEastAsia" w:eastAsiaTheme="minorEastAsia"/>
          <w:sz w:val="21"/>
          <w:szCs w:val="21"/>
        </w:rPr>
      </w:pPr>
      <w:r>
        <w:rPr>
          <w:rFonts w:hint="eastAsia" w:asciiTheme="minorEastAsia" w:hAnsiTheme="minorEastAsia" w:eastAsiaTheme="minorEastAsia"/>
          <w:sz w:val="21"/>
          <w:szCs w:val="21"/>
        </w:rPr>
        <w:t>5、黑白脸配合策略</w:t>
      </w:r>
    </w:p>
    <w:p>
      <w:pPr>
        <w:spacing w:line="360" w:lineRule="auto"/>
        <w:rPr>
          <w:rFonts w:asciiTheme="minorEastAsia" w:hAnsiTheme="minorEastAsia" w:eastAsiaTheme="minorEastAsia"/>
          <w:sz w:val="21"/>
          <w:szCs w:val="21"/>
        </w:rPr>
      </w:pPr>
      <w:r>
        <w:rPr>
          <w:rFonts w:hint="eastAsia" w:asciiTheme="minorEastAsia" w:hAnsiTheme="minorEastAsia" w:eastAsiaTheme="minorEastAsia"/>
          <w:sz w:val="21"/>
          <w:szCs w:val="21"/>
        </w:rPr>
        <w:t>6、威逼利诱策略</w:t>
      </w:r>
    </w:p>
    <w:p>
      <w:pPr>
        <w:spacing w:line="360" w:lineRule="auto"/>
        <w:rPr>
          <w:rFonts w:asciiTheme="minorEastAsia" w:hAnsiTheme="minorEastAsia" w:eastAsiaTheme="minorEastAsia"/>
          <w:sz w:val="21"/>
          <w:szCs w:val="21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80FC1C3"/>
    <w:multiLevelType w:val="singleLevel"/>
    <w:tmpl w:val="A80FC1C3"/>
    <w:lvl w:ilvl="0" w:tentative="0">
      <w:start w:val="1"/>
      <w:numFmt w:val="bullet"/>
      <w:lvlText w:val="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1">
    <w:nsid w:val="C50A5514"/>
    <w:multiLevelType w:val="singleLevel"/>
    <w:tmpl w:val="C50A5514"/>
    <w:lvl w:ilvl="0" w:tentative="0">
      <w:start w:val="3"/>
      <w:numFmt w:val="decimal"/>
      <w:suff w:val="nothing"/>
      <w:lvlText w:val="%1、"/>
      <w:lvlJc w:val="left"/>
    </w:lvl>
  </w:abstractNum>
  <w:abstractNum w:abstractNumId="2">
    <w:nsid w:val="F23F4AA7"/>
    <w:multiLevelType w:val="singleLevel"/>
    <w:tmpl w:val="F23F4AA7"/>
    <w:lvl w:ilvl="0" w:tentative="0">
      <w:start w:val="1"/>
      <w:numFmt w:val="decimal"/>
      <w:suff w:val="nothing"/>
      <w:lvlText w:val="%1、"/>
      <w:lvlJc w:val="left"/>
    </w:lvl>
  </w:abstractNum>
  <w:abstractNum w:abstractNumId="3">
    <w:nsid w:val="00171674"/>
    <w:multiLevelType w:val="singleLevel"/>
    <w:tmpl w:val="00171674"/>
    <w:lvl w:ilvl="0" w:tentative="0">
      <w:start w:val="1"/>
      <w:numFmt w:val="decimal"/>
      <w:suff w:val="nothing"/>
      <w:lvlText w:val="%1、"/>
      <w:lvlJc w:val="left"/>
    </w:lvl>
  </w:abstractNum>
  <w:abstractNum w:abstractNumId="4">
    <w:nsid w:val="289BF34A"/>
    <w:multiLevelType w:val="singleLevel"/>
    <w:tmpl w:val="289BF34A"/>
    <w:lvl w:ilvl="0" w:tentative="0">
      <w:start w:val="1"/>
      <w:numFmt w:val="decimal"/>
      <w:suff w:val="nothing"/>
      <w:lvlText w:val="%1、"/>
      <w:lvlJc w:val="left"/>
    </w:lvl>
  </w:abstractNum>
  <w:abstractNum w:abstractNumId="5">
    <w:nsid w:val="2CC40EDA"/>
    <w:multiLevelType w:val="multilevel"/>
    <w:tmpl w:val="2CC40EDA"/>
    <w:lvl w:ilvl="0" w:tentative="0">
      <w:start w:val="1"/>
      <w:numFmt w:val="bullet"/>
      <w:lvlText w:val=""/>
      <w:lvlJc w:val="left"/>
      <w:pPr>
        <w:ind w:left="660" w:hanging="420"/>
      </w:pPr>
      <w:rPr>
        <w:rFonts w:hint="default" w:ascii="Wingdings" w:hAnsi="Wingdings" w:cs="Wingdings"/>
      </w:rPr>
    </w:lvl>
    <w:lvl w:ilvl="1" w:tentative="0">
      <w:start w:val="1"/>
      <w:numFmt w:val="bullet"/>
      <w:lvlText w:val=""/>
      <w:lvlJc w:val="left"/>
      <w:pPr>
        <w:ind w:left="108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50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34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76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18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60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020" w:hanging="420"/>
      </w:pPr>
      <w:rPr>
        <w:rFonts w:hint="default" w:ascii="Wingdings" w:hAnsi="Wingdings"/>
      </w:rPr>
    </w:lvl>
  </w:abstractNum>
  <w:abstractNum w:abstractNumId="6">
    <w:nsid w:val="30FB540C"/>
    <w:multiLevelType w:val="multilevel"/>
    <w:tmpl w:val="30FB540C"/>
    <w:lvl w:ilvl="0" w:tentative="0">
      <w:start w:val="1"/>
      <w:numFmt w:val="bullet"/>
      <w:lvlText w:val=""/>
      <w:lvlJc w:val="left"/>
      <w:pPr>
        <w:ind w:left="63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05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7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89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31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73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15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57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990" w:hanging="420"/>
      </w:pPr>
      <w:rPr>
        <w:rFonts w:hint="default" w:ascii="Wingdings" w:hAnsi="Wingdings"/>
      </w:rPr>
    </w:lvl>
  </w:abstractNum>
  <w:abstractNum w:abstractNumId="7">
    <w:nsid w:val="357D3EC2"/>
    <w:multiLevelType w:val="multilevel"/>
    <w:tmpl w:val="357D3EC2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3AEA70F1"/>
    <w:multiLevelType w:val="multilevel"/>
    <w:tmpl w:val="3AEA70F1"/>
    <w:lvl w:ilvl="0" w:tentative="0">
      <w:start w:val="1"/>
      <w:numFmt w:val="bullet"/>
      <w:lvlText w:val=""/>
      <w:lvlJc w:val="left"/>
      <w:pPr>
        <w:ind w:left="63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05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7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89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31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73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15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57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990" w:hanging="420"/>
      </w:pPr>
      <w:rPr>
        <w:rFonts w:hint="default" w:ascii="Wingdings" w:hAnsi="Wingdings"/>
      </w:rPr>
    </w:lvl>
  </w:abstractNum>
  <w:abstractNum w:abstractNumId="9">
    <w:nsid w:val="492142BE"/>
    <w:multiLevelType w:val="multilevel"/>
    <w:tmpl w:val="492142BE"/>
    <w:lvl w:ilvl="0" w:tentative="0">
      <w:start w:val="1"/>
      <w:numFmt w:val="bullet"/>
      <w:lvlText w:val=""/>
      <w:lvlJc w:val="left"/>
      <w:pPr>
        <w:ind w:left="63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05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7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89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31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73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15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57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990" w:hanging="420"/>
      </w:pPr>
      <w:rPr>
        <w:rFonts w:hint="default" w:ascii="Wingdings" w:hAnsi="Wingdings"/>
      </w:rPr>
    </w:lvl>
  </w:abstractNum>
  <w:abstractNum w:abstractNumId="10">
    <w:nsid w:val="4D575054"/>
    <w:multiLevelType w:val="multilevel"/>
    <w:tmpl w:val="4D575054"/>
    <w:lvl w:ilvl="0" w:tentative="0">
      <w:start w:val="1"/>
      <w:numFmt w:val="bullet"/>
      <w:lvlText w:val=""/>
      <w:lvlJc w:val="left"/>
      <w:pPr>
        <w:ind w:left="63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05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7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89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31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73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15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57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990" w:hanging="420"/>
      </w:pPr>
      <w:rPr>
        <w:rFonts w:hint="default" w:ascii="Wingdings" w:hAnsi="Wingdings"/>
      </w:rPr>
    </w:lvl>
  </w:abstractNum>
  <w:abstractNum w:abstractNumId="11">
    <w:nsid w:val="4E514FD8"/>
    <w:multiLevelType w:val="multilevel"/>
    <w:tmpl w:val="4E514FD8"/>
    <w:lvl w:ilvl="0" w:tentative="0">
      <w:start w:val="1"/>
      <w:numFmt w:val="bullet"/>
      <w:lvlText w:val=""/>
      <w:lvlJc w:val="left"/>
      <w:pPr>
        <w:ind w:left="63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05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7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89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31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73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15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57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990" w:hanging="420"/>
      </w:pPr>
      <w:rPr>
        <w:rFonts w:hint="default" w:ascii="Wingdings" w:hAnsi="Wingdings"/>
      </w:rPr>
    </w:lvl>
  </w:abstractNum>
  <w:abstractNum w:abstractNumId="12">
    <w:nsid w:val="587670F2"/>
    <w:multiLevelType w:val="multilevel"/>
    <w:tmpl w:val="587670F2"/>
    <w:lvl w:ilvl="0" w:tentative="0">
      <w:start w:val="1"/>
      <w:numFmt w:val="bullet"/>
      <w:lvlText w:val=""/>
      <w:lvlJc w:val="left"/>
      <w:pPr>
        <w:ind w:left="63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05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7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89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31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73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15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57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990" w:hanging="420"/>
      </w:pPr>
      <w:rPr>
        <w:rFonts w:hint="default" w:ascii="Wingdings" w:hAnsi="Wingdings"/>
      </w:rPr>
    </w:lvl>
  </w:abstractNum>
  <w:abstractNum w:abstractNumId="13">
    <w:nsid w:val="74A40A9F"/>
    <w:multiLevelType w:val="multilevel"/>
    <w:tmpl w:val="74A40A9F"/>
    <w:lvl w:ilvl="0" w:tentative="0">
      <w:start w:val="1"/>
      <w:numFmt w:val="bullet"/>
      <w:lvlText w:val=""/>
      <w:lvlJc w:val="left"/>
      <w:pPr>
        <w:ind w:left="63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05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7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89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31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73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15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57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990" w:hanging="420"/>
      </w:pPr>
      <w:rPr>
        <w:rFonts w:hint="default" w:ascii="Wingdings" w:hAnsi="Wingdings"/>
      </w:rPr>
    </w:lvl>
  </w:abstractNum>
  <w:num w:numId="1">
    <w:abstractNumId w:val="7"/>
  </w:num>
  <w:num w:numId="2">
    <w:abstractNumId w:val="2"/>
  </w:num>
  <w:num w:numId="3">
    <w:abstractNumId w:val="9"/>
  </w:num>
  <w:num w:numId="4">
    <w:abstractNumId w:val="6"/>
  </w:num>
  <w:num w:numId="5">
    <w:abstractNumId w:val="1"/>
  </w:num>
  <w:num w:numId="6">
    <w:abstractNumId w:val="12"/>
  </w:num>
  <w:num w:numId="7">
    <w:abstractNumId w:val="13"/>
  </w:num>
  <w:num w:numId="8">
    <w:abstractNumId w:val="3"/>
  </w:num>
  <w:num w:numId="9">
    <w:abstractNumId w:val="5"/>
  </w:num>
  <w:num w:numId="10">
    <w:abstractNumId w:val="4"/>
  </w:num>
  <w:num w:numId="11">
    <w:abstractNumId w:val="10"/>
  </w:num>
  <w:num w:numId="12">
    <w:abstractNumId w:val="0"/>
  </w:num>
  <w:num w:numId="13">
    <w:abstractNumId w:val="11"/>
  </w:num>
  <w:num w:numId="1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GFjOWU4OTE1N2VlYTU3ZjU3YzQ1MjYzMjNjMmVhNWQifQ=="/>
  </w:docVars>
  <w:rsids>
    <w:rsidRoot w:val="00191F5A"/>
    <w:rsid w:val="00164895"/>
    <w:rsid w:val="00191F5A"/>
    <w:rsid w:val="002651C5"/>
    <w:rsid w:val="007C35BF"/>
    <w:rsid w:val="008E72F0"/>
    <w:rsid w:val="009A683B"/>
    <w:rsid w:val="00A31299"/>
    <w:rsid w:val="00AE0F4C"/>
    <w:rsid w:val="00D56FD0"/>
    <w:rsid w:val="00E003A2"/>
    <w:rsid w:val="276134BB"/>
    <w:rsid w:val="299555A4"/>
    <w:rsid w:val="42631183"/>
    <w:rsid w:val="4CA81DDD"/>
    <w:rsid w:val="65E5015F"/>
    <w:rsid w:val="68FE43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宋体" w:hAnsi="宋体" w:eastAsia="宋体" w:cs="宋体"/>
      <w:sz w:val="24"/>
      <w:szCs w:val="24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widowControl/>
      <w:spacing w:before="100" w:beforeLines="0" w:beforeAutospacing="1" w:after="100" w:afterLines="0" w:afterAutospacing="1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8"/>
    <w:unhideWhenUsed/>
    <w:qFormat/>
    <w:uiPriority w:val="99"/>
    <w:pPr>
      <w:widowControl w:val="0"/>
      <w:tabs>
        <w:tab w:val="center" w:pos="4153"/>
        <w:tab w:val="right" w:pos="8306"/>
      </w:tabs>
      <w:snapToGrid w:val="0"/>
    </w:pPr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7">
    <w:name w:val="页眉 字符"/>
    <w:basedOn w:val="6"/>
    <w:link w:val="4"/>
    <w:semiHidden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3"/>
    <w:semiHidden/>
    <w:qFormat/>
    <w:uiPriority w:val="99"/>
    <w:rPr>
      <w:sz w:val="18"/>
      <w:szCs w:val="18"/>
    </w:rPr>
  </w:style>
  <w:style w:type="paragraph" w:styleId="9">
    <w:name w:val="List Paragraph"/>
    <w:basedOn w:val="1"/>
    <w:qFormat/>
    <w:uiPriority w:val="34"/>
    <w:pPr>
      <w:widowControl w:val="0"/>
      <w:ind w:firstLine="420" w:firstLineChars="200"/>
      <w:jc w:val="both"/>
    </w:pPr>
    <w:rPr>
      <w:rFonts w:asciiTheme="minorHAnsi" w:hAnsiTheme="minorHAnsi" w:eastAsiaTheme="minorEastAsia" w:cstheme="minorBidi"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4</Pages>
  <Words>1533</Words>
  <Characters>1543</Characters>
  <Lines>11</Lines>
  <Paragraphs>3</Paragraphs>
  <TotalTime>2</TotalTime>
  <ScaleCrop>false</ScaleCrop>
  <LinksUpToDate>false</LinksUpToDate>
  <CharactersWithSpaces>1545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2017-11-29T11:06:00Z</dcterms:created>
  <dc:creator>Administrator</dc:creator>
  <cp:lastModifiedBy>王巧红</cp:lastModifiedBy>
  <dcterms:modified xsi:type="dcterms:W3CDTF">2023-02-20T09:21:35Z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BC2D6F67C1EE469481E4886437A24551</vt:lpwstr>
  </property>
</Properties>
</file>