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/>
        <w:jc w:val="both"/>
        <w:rPr>
          <w:rFonts w:ascii="楷体" w:hAnsi="楷体" w:eastAsia="楷体"/>
          <w:spacing w:val="8"/>
          <w:sz w:val="30"/>
          <w:szCs w:val="30"/>
        </w:rPr>
      </w:pPr>
      <w:r>
        <w:rPr>
          <w:rStyle w:val="7"/>
          <w:rFonts w:hint="eastAsia" w:ascii="楷体" w:hAnsi="楷体" w:eastAsia="楷体"/>
          <w:spacing w:val="8"/>
          <w:sz w:val="30"/>
          <w:szCs w:val="30"/>
        </w:rPr>
        <w:t>模块一、城投企业融资实务模块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62"/>
        <w:jc w:val="both"/>
        <w:rPr>
          <w:rFonts w:ascii="楷体" w:hAnsi="楷体" w:eastAsia="楷体"/>
          <w:spacing w:val="8"/>
          <w:sz w:val="30"/>
          <w:szCs w:val="30"/>
        </w:rPr>
      </w:pPr>
      <w:r>
        <w:rPr>
          <w:rFonts w:hint="eastAsia" w:ascii="楷体" w:hAnsi="楷体" w:eastAsia="楷体"/>
          <w:spacing w:val="8"/>
          <w:sz w:val="30"/>
          <w:szCs w:val="30"/>
        </w:rPr>
        <w:t>投融资政策解读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62"/>
        <w:jc w:val="both"/>
        <w:rPr>
          <w:rFonts w:ascii="楷体" w:hAnsi="楷体" w:eastAsia="楷体"/>
          <w:spacing w:val="8"/>
          <w:sz w:val="30"/>
          <w:szCs w:val="30"/>
        </w:rPr>
      </w:pPr>
      <w:r>
        <w:rPr>
          <w:rFonts w:hint="eastAsia" w:ascii="楷体" w:hAnsi="楷体" w:eastAsia="楷体"/>
          <w:spacing w:val="8"/>
          <w:sz w:val="30"/>
          <w:szCs w:val="30"/>
        </w:rPr>
        <w:t>中国金融业务体系介绍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62"/>
        <w:jc w:val="both"/>
        <w:rPr>
          <w:rFonts w:ascii="楷体" w:hAnsi="楷体" w:eastAsia="楷体"/>
          <w:spacing w:val="8"/>
          <w:sz w:val="30"/>
          <w:szCs w:val="30"/>
        </w:rPr>
      </w:pPr>
      <w:r>
        <w:rPr>
          <w:rFonts w:hint="eastAsia" w:ascii="楷体" w:hAnsi="楷体" w:eastAsia="楷体"/>
          <w:spacing w:val="8"/>
          <w:sz w:val="30"/>
          <w:szCs w:val="30"/>
        </w:rPr>
        <w:t>商业银行、政策银行服务支持政策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62"/>
        <w:jc w:val="both"/>
        <w:rPr>
          <w:rFonts w:ascii="楷体" w:hAnsi="楷体" w:eastAsia="楷体"/>
          <w:spacing w:val="8"/>
          <w:sz w:val="30"/>
          <w:szCs w:val="30"/>
        </w:rPr>
      </w:pPr>
      <w:r>
        <w:rPr>
          <w:rFonts w:ascii="楷体" w:hAnsi="楷体" w:eastAsia="楷体"/>
          <w:spacing w:val="8"/>
          <w:sz w:val="30"/>
          <w:szCs w:val="30"/>
        </w:rPr>
        <w:t>地方政府隐性债务化解路径及经典案例解析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62"/>
        <w:jc w:val="both"/>
        <w:rPr>
          <w:rFonts w:ascii="楷体" w:hAnsi="楷体" w:eastAsia="楷体"/>
          <w:spacing w:val="8"/>
          <w:sz w:val="30"/>
          <w:szCs w:val="30"/>
        </w:rPr>
      </w:pPr>
      <w:r>
        <w:rPr>
          <w:rFonts w:hint="eastAsia" w:ascii="楷体" w:hAnsi="楷体" w:eastAsia="楷体"/>
          <w:spacing w:val="8"/>
          <w:sz w:val="30"/>
          <w:szCs w:val="30"/>
        </w:rPr>
        <w:t>产业基金的应用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62"/>
        <w:jc w:val="both"/>
        <w:rPr>
          <w:rFonts w:ascii="楷体" w:hAnsi="楷体" w:eastAsia="楷体"/>
          <w:spacing w:val="8"/>
          <w:sz w:val="30"/>
          <w:szCs w:val="30"/>
        </w:rPr>
      </w:pPr>
      <w:r>
        <w:rPr>
          <w:rFonts w:hint="eastAsia" w:ascii="楷体" w:hAnsi="楷体" w:eastAsia="楷体"/>
          <w:spacing w:val="8"/>
          <w:sz w:val="30"/>
          <w:szCs w:val="30"/>
        </w:rPr>
        <w:t>旧改、城市更新等城镇化项目融资要点及案例分析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62"/>
        <w:jc w:val="both"/>
        <w:rPr>
          <w:rFonts w:ascii="楷体" w:hAnsi="楷体" w:eastAsia="楷体"/>
          <w:spacing w:val="8"/>
          <w:sz w:val="30"/>
          <w:szCs w:val="30"/>
        </w:rPr>
      </w:pPr>
      <w:r>
        <w:rPr>
          <w:rFonts w:hint="eastAsia" w:ascii="楷体" w:hAnsi="楷体" w:eastAsia="楷体"/>
          <w:spacing w:val="8"/>
          <w:sz w:val="30"/>
          <w:szCs w:val="30"/>
        </w:rPr>
        <w:t>城投企业合理融资方式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62"/>
        <w:jc w:val="both"/>
        <w:rPr>
          <w:rFonts w:ascii="楷体" w:hAnsi="楷体" w:eastAsia="楷体"/>
          <w:spacing w:val="8"/>
          <w:sz w:val="30"/>
          <w:szCs w:val="30"/>
        </w:rPr>
      </w:pPr>
      <w:r>
        <w:rPr>
          <w:rFonts w:hint="eastAsia" w:ascii="楷体" w:hAnsi="楷体" w:eastAsia="楷体"/>
          <w:spacing w:val="8"/>
          <w:sz w:val="30"/>
          <w:szCs w:val="30"/>
        </w:rPr>
        <w:t>资产证券化操作实务</w:t>
      </w: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rStyle w:val="7"/>
          <w:rFonts w:ascii="楷体" w:hAnsi="楷体" w:eastAsia="楷体"/>
          <w:spacing w:val="8"/>
          <w:sz w:val="30"/>
          <w:szCs w:val="30"/>
        </w:rPr>
      </w:pPr>
      <w:r>
        <w:rPr>
          <w:rStyle w:val="7"/>
          <w:rFonts w:hint="eastAsia" w:ascii="楷体" w:hAnsi="楷体" w:eastAsia="楷体"/>
          <w:spacing w:val="8"/>
          <w:sz w:val="30"/>
          <w:szCs w:val="30"/>
        </w:rPr>
        <w:t>模块二、城投企业承接基建项目的模式与实务案例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62"/>
        <w:jc w:val="both"/>
        <w:rPr>
          <w:rFonts w:ascii="楷体" w:hAnsi="楷体" w:eastAsia="楷体"/>
          <w:spacing w:val="8"/>
          <w:sz w:val="30"/>
          <w:szCs w:val="30"/>
        </w:rPr>
      </w:pPr>
      <w:r>
        <w:rPr>
          <w:rFonts w:hint="eastAsia" w:ascii="楷体" w:hAnsi="楷体" w:eastAsia="楷体"/>
          <w:spacing w:val="8"/>
          <w:sz w:val="30"/>
          <w:szCs w:val="30"/>
        </w:rPr>
        <w:t>城投企业如何做政府代建业务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62"/>
        <w:jc w:val="both"/>
        <w:rPr>
          <w:rFonts w:ascii="楷体" w:hAnsi="楷体" w:eastAsia="楷体"/>
          <w:spacing w:val="8"/>
          <w:sz w:val="30"/>
          <w:szCs w:val="30"/>
        </w:rPr>
      </w:pPr>
      <w:r>
        <w:rPr>
          <w:rFonts w:hint="eastAsia" w:ascii="楷体" w:hAnsi="楷体" w:eastAsia="楷体"/>
          <w:spacing w:val="8"/>
          <w:sz w:val="30"/>
          <w:szCs w:val="30"/>
        </w:rPr>
        <w:t>城投企业如何承接专项债项目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62"/>
        <w:jc w:val="both"/>
        <w:rPr>
          <w:rFonts w:ascii="楷体" w:hAnsi="楷体" w:eastAsia="楷体"/>
          <w:spacing w:val="8"/>
          <w:sz w:val="30"/>
          <w:szCs w:val="30"/>
        </w:rPr>
      </w:pPr>
      <w:r>
        <w:rPr>
          <w:rFonts w:hint="eastAsia" w:ascii="楷体" w:hAnsi="楷体" w:eastAsia="楷体"/>
          <w:spacing w:val="8"/>
          <w:sz w:val="30"/>
          <w:szCs w:val="30"/>
        </w:rPr>
        <w:t>城投企业如何做政府购买项目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62"/>
        <w:jc w:val="both"/>
        <w:rPr>
          <w:rFonts w:ascii="楷体" w:hAnsi="楷体" w:eastAsia="楷体"/>
          <w:spacing w:val="8"/>
          <w:sz w:val="30"/>
          <w:szCs w:val="30"/>
        </w:rPr>
      </w:pPr>
      <w:r>
        <w:rPr>
          <w:rFonts w:hint="eastAsia" w:ascii="楷体" w:hAnsi="楷体" w:eastAsia="楷体"/>
          <w:spacing w:val="8"/>
          <w:sz w:val="30"/>
          <w:szCs w:val="30"/>
        </w:rPr>
        <w:t>特许经营模式与PPP模式比较及运用案例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62"/>
        <w:jc w:val="both"/>
        <w:rPr>
          <w:rFonts w:ascii="楷体" w:hAnsi="楷体" w:eastAsia="楷体"/>
          <w:spacing w:val="8"/>
          <w:sz w:val="30"/>
          <w:szCs w:val="30"/>
        </w:rPr>
      </w:pPr>
      <w:r>
        <w:rPr>
          <w:rFonts w:hint="eastAsia" w:ascii="楷体" w:hAnsi="楷体" w:eastAsia="楷体"/>
          <w:spacing w:val="8"/>
          <w:sz w:val="30"/>
          <w:szCs w:val="30"/>
        </w:rPr>
        <w:t>政府授权模式（A</w:t>
      </w:r>
      <w:r>
        <w:rPr>
          <w:rFonts w:ascii="楷体" w:hAnsi="楷体" w:eastAsia="楷体"/>
          <w:spacing w:val="8"/>
          <w:sz w:val="30"/>
          <w:szCs w:val="30"/>
        </w:rPr>
        <w:t>BO</w:t>
      </w:r>
      <w:r>
        <w:rPr>
          <w:rFonts w:hint="eastAsia" w:ascii="楷体" w:hAnsi="楷体" w:eastAsia="楷体"/>
          <w:spacing w:val="8"/>
          <w:sz w:val="30"/>
          <w:szCs w:val="30"/>
        </w:rPr>
        <w:t>）做大做强城投企业的操作要点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62"/>
        <w:jc w:val="both"/>
        <w:rPr>
          <w:rFonts w:ascii="楷体" w:hAnsi="楷体" w:eastAsia="楷体"/>
          <w:spacing w:val="8"/>
          <w:sz w:val="30"/>
          <w:szCs w:val="30"/>
        </w:rPr>
      </w:pPr>
      <w:r>
        <w:rPr>
          <w:rFonts w:hint="eastAsia" w:ascii="楷体" w:hAnsi="楷体" w:eastAsia="楷体"/>
          <w:spacing w:val="8"/>
          <w:sz w:val="30"/>
          <w:szCs w:val="30"/>
        </w:rPr>
        <w:t>“投资人+EPC”模式下实施要点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62"/>
        <w:jc w:val="both"/>
        <w:rPr>
          <w:rFonts w:ascii="楷体" w:hAnsi="楷体" w:eastAsia="楷体"/>
          <w:spacing w:val="8"/>
          <w:sz w:val="30"/>
          <w:szCs w:val="30"/>
        </w:rPr>
      </w:pPr>
      <w:r>
        <w:rPr>
          <w:rFonts w:hint="eastAsia" w:ascii="楷体" w:hAnsi="楷体" w:eastAsia="楷体"/>
          <w:spacing w:val="8"/>
          <w:sz w:val="30"/>
          <w:szCs w:val="30"/>
        </w:rPr>
        <w:t>城投企业如何包装市场化项目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62"/>
        <w:jc w:val="both"/>
        <w:rPr>
          <w:rFonts w:ascii="楷体" w:hAnsi="楷体" w:eastAsia="楷体"/>
          <w:spacing w:val="8"/>
          <w:sz w:val="30"/>
          <w:szCs w:val="30"/>
        </w:rPr>
      </w:pPr>
      <w:r>
        <w:rPr>
          <w:rFonts w:hint="eastAsia" w:ascii="楷体" w:hAnsi="楷体" w:eastAsia="楷体"/>
          <w:spacing w:val="8"/>
          <w:sz w:val="30"/>
          <w:szCs w:val="30"/>
        </w:rPr>
        <w:t>城市更新项目如何操作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62"/>
        <w:jc w:val="both"/>
        <w:rPr>
          <w:rStyle w:val="7"/>
          <w:rFonts w:ascii="楷体" w:hAnsi="楷体" w:eastAsia="楷体"/>
          <w:spacing w:val="8"/>
          <w:sz w:val="30"/>
          <w:szCs w:val="30"/>
        </w:rPr>
      </w:pPr>
      <w:r>
        <w:rPr>
          <w:rFonts w:hint="eastAsia" w:ascii="楷体" w:hAnsi="楷体" w:eastAsia="楷体"/>
          <w:spacing w:val="8"/>
          <w:sz w:val="30"/>
          <w:szCs w:val="30"/>
        </w:rPr>
        <w:t>TOD模式和EOD模式如何操作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62"/>
        <w:jc w:val="both"/>
        <w:rPr>
          <w:rStyle w:val="7"/>
          <w:rFonts w:ascii="楷体" w:hAnsi="楷体" w:eastAsia="楷体"/>
          <w:spacing w:val="8"/>
          <w:sz w:val="30"/>
          <w:szCs w:val="30"/>
        </w:rPr>
      </w:pP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rStyle w:val="7"/>
          <w:rFonts w:ascii="楷体" w:hAnsi="楷体" w:eastAsia="楷体"/>
          <w:spacing w:val="8"/>
          <w:sz w:val="30"/>
          <w:szCs w:val="30"/>
        </w:rPr>
      </w:pPr>
      <w:r>
        <w:rPr>
          <w:rStyle w:val="7"/>
          <w:rFonts w:hint="eastAsia" w:ascii="楷体" w:hAnsi="楷体" w:eastAsia="楷体"/>
          <w:spacing w:val="8"/>
          <w:sz w:val="30"/>
          <w:szCs w:val="30"/>
        </w:rPr>
        <w:t>模块三、城投公司资产整合与盘活实务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62"/>
        <w:jc w:val="both"/>
        <w:rPr>
          <w:rFonts w:ascii="楷体" w:hAnsi="楷体" w:eastAsia="楷体"/>
          <w:spacing w:val="8"/>
          <w:sz w:val="30"/>
          <w:szCs w:val="30"/>
        </w:rPr>
      </w:pPr>
      <w:r>
        <w:rPr>
          <w:rFonts w:hint="eastAsia" w:ascii="楷体" w:hAnsi="楷体" w:eastAsia="楷体"/>
          <w:spacing w:val="8"/>
          <w:sz w:val="30"/>
          <w:szCs w:val="30"/>
        </w:rPr>
        <w:t>城投公司资产注入创新路径分析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62"/>
        <w:jc w:val="both"/>
        <w:rPr>
          <w:rFonts w:ascii="楷体" w:hAnsi="楷体" w:eastAsia="楷体"/>
          <w:spacing w:val="8"/>
          <w:sz w:val="30"/>
          <w:szCs w:val="30"/>
        </w:rPr>
      </w:pPr>
      <w:r>
        <w:rPr>
          <w:rFonts w:hint="eastAsia" w:ascii="楷体" w:hAnsi="楷体" w:eastAsia="楷体"/>
          <w:spacing w:val="8"/>
          <w:sz w:val="30"/>
          <w:szCs w:val="30"/>
        </w:rPr>
        <w:t>城投公司整合重组的方式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62"/>
        <w:jc w:val="both"/>
        <w:rPr>
          <w:rFonts w:ascii="楷体" w:hAnsi="楷体" w:eastAsia="楷体"/>
          <w:spacing w:val="8"/>
          <w:sz w:val="30"/>
          <w:szCs w:val="30"/>
        </w:rPr>
      </w:pPr>
      <w:r>
        <w:rPr>
          <w:rFonts w:hint="eastAsia" w:ascii="楷体" w:hAnsi="楷体" w:eastAsia="楷体"/>
          <w:spacing w:val="8"/>
          <w:sz w:val="30"/>
          <w:szCs w:val="30"/>
        </w:rPr>
        <w:t>城投公司整合重组的融合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62"/>
        <w:jc w:val="both"/>
        <w:rPr>
          <w:rFonts w:ascii="楷体" w:hAnsi="楷体" w:eastAsia="楷体"/>
          <w:spacing w:val="8"/>
          <w:sz w:val="30"/>
          <w:szCs w:val="30"/>
        </w:rPr>
      </w:pPr>
      <w:r>
        <w:rPr>
          <w:rFonts w:hint="eastAsia" w:ascii="楷体" w:hAnsi="楷体" w:eastAsia="楷体"/>
          <w:spacing w:val="8"/>
          <w:sz w:val="30"/>
          <w:szCs w:val="30"/>
        </w:rPr>
        <w:t>存量资产盘活的主要方式及操作实务</w:t>
      </w: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rStyle w:val="7"/>
          <w:rFonts w:ascii="楷体" w:hAnsi="楷体" w:eastAsia="楷体"/>
          <w:spacing w:val="8"/>
          <w:sz w:val="30"/>
          <w:szCs w:val="30"/>
        </w:rPr>
      </w:pP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rStyle w:val="7"/>
          <w:rFonts w:ascii="楷体" w:hAnsi="楷体" w:eastAsia="楷体"/>
          <w:spacing w:val="8"/>
          <w:sz w:val="30"/>
          <w:szCs w:val="30"/>
        </w:rPr>
      </w:pPr>
      <w:r>
        <w:rPr>
          <w:rStyle w:val="7"/>
          <w:rFonts w:hint="eastAsia" w:ascii="楷体" w:hAnsi="楷体" w:eastAsia="楷体"/>
          <w:spacing w:val="8"/>
          <w:sz w:val="30"/>
          <w:szCs w:val="30"/>
        </w:rPr>
        <w:t>模块四、城投企业融资能力提升模块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62"/>
        <w:jc w:val="both"/>
        <w:rPr>
          <w:rFonts w:ascii="楷体" w:hAnsi="楷体" w:eastAsia="楷体"/>
          <w:spacing w:val="8"/>
          <w:sz w:val="30"/>
          <w:szCs w:val="30"/>
        </w:rPr>
      </w:pPr>
      <w:r>
        <w:rPr>
          <w:rFonts w:hint="eastAsia" w:ascii="楷体" w:hAnsi="楷体" w:eastAsia="楷体"/>
          <w:spacing w:val="8"/>
          <w:sz w:val="30"/>
          <w:szCs w:val="30"/>
        </w:rPr>
        <w:t>城投企业</w:t>
      </w:r>
      <w:r>
        <w:rPr>
          <w:rFonts w:ascii="楷体" w:hAnsi="楷体" w:eastAsia="楷体"/>
          <w:spacing w:val="8"/>
          <w:sz w:val="30"/>
          <w:szCs w:val="30"/>
        </w:rPr>
        <w:t>资信评级提升路径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62"/>
        <w:jc w:val="both"/>
        <w:rPr>
          <w:rFonts w:ascii="楷体" w:hAnsi="楷体" w:eastAsia="楷体"/>
          <w:spacing w:val="8"/>
          <w:sz w:val="30"/>
          <w:szCs w:val="30"/>
        </w:rPr>
      </w:pPr>
      <w:r>
        <w:rPr>
          <w:rFonts w:ascii="楷体" w:hAnsi="楷体" w:eastAsia="楷体"/>
          <w:spacing w:val="8"/>
          <w:sz w:val="30"/>
          <w:szCs w:val="30"/>
        </w:rPr>
        <w:t>城</w:t>
      </w:r>
      <w:r>
        <w:rPr>
          <w:rFonts w:hint="eastAsia" w:ascii="楷体" w:hAnsi="楷体" w:eastAsia="楷体"/>
          <w:spacing w:val="8"/>
          <w:sz w:val="30"/>
          <w:szCs w:val="30"/>
        </w:rPr>
        <w:t>投企业债券融资实务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62"/>
        <w:jc w:val="both"/>
        <w:rPr>
          <w:rStyle w:val="7"/>
          <w:rFonts w:ascii="楷体" w:hAnsi="楷体" w:eastAsia="楷体"/>
          <w:spacing w:val="8"/>
          <w:sz w:val="30"/>
          <w:szCs w:val="30"/>
        </w:rPr>
      </w:pPr>
      <w:r>
        <w:rPr>
          <w:rFonts w:ascii="楷体" w:hAnsi="楷体" w:eastAsia="楷体"/>
          <w:spacing w:val="8"/>
          <w:sz w:val="30"/>
          <w:szCs w:val="30"/>
        </w:rPr>
        <w:t>城投企业如何</w:t>
      </w:r>
      <w:r>
        <w:rPr>
          <w:rFonts w:hint="eastAsia" w:ascii="楷体" w:hAnsi="楷体" w:eastAsia="楷体"/>
          <w:spacing w:val="8"/>
          <w:sz w:val="30"/>
          <w:szCs w:val="30"/>
        </w:rPr>
        <w:t>操作</w:t>
      </w:r>
      <w:r>
        <w:rPr>
          <w:rFonts w:ascii="楷体" w:hAnsi="楷体" w:eastAsia="楷体"/>
          <w:spacing w:val="8"/>
          <w:sz w:val="30"/>
          <w:szCs w:val="30"/>
        </w:rPr>
        <w:t>上市</w:t>
      </w:r>
    </w:p>
    <w:p>
      <w:pPr>
        <w:pStyle w:val="4"/>
        <w:numPr>
          <w:numId w:val="0"/>
        </w:numPr>
        <w:shd w:val="clear" w:color="auto" w:fill="FFFFFF"/>
        <w:spacing w:before="0" w:beforeAutospacing="0" w:after="0" w:afterAutospacing="0"/>
        <w:ind w:left="720" w:leftChars="0" w:right="62" w:rightChars="0"/>
        <w:jc w:val="both"/>
        <w:rPr>
          <w:rStyle w:val="7"/>
          <w:rFonts w:ascii="楷体" w:hAnsi="楷体" w:eastAsia="楷体"/>
          <w:spacing w:val="8"/>
          <w:sz w:val="30"/>
          <w:szCs w:val="30"/>
        </w:rPr>
      </w:pP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rStyle w:val="7"/>
          <w:rFonts w:ascii="楷体" w:hAnsi="楷体" w:eastAsia="楷体"/>
          <w:spacing w:val="8"/>
          <w:sz w:val="30"/>
          <w:szCs w:val="30"/>
        </w:rPr>
      </w:pPr>
      <w:r>
        <w:rPr>
          <w:rStyle w:val="7"/>
          <w:rFonts w:hint="eastAsia" w:ascii="楷体" w:hAnsi="楷体" w:eastAsia="楷体"/>
          <w:spacing w:val="8"/>
          <w:sz w:val="30"/>
          <w:szCs w:val="30"/>
        </w:rPr>
        <w:t>模块五、城投企业转型暨产业发展路径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62"/>
        <w:jc w:val="both"/>
        <w:rPr>
          <w:rFonts w:ascii="楷体" w:hAnsi="楷体" w:eastAsia="楷体"/>
          <w:spacing w:val="8"/>
          <w:sz w:val="30"/>
          <w:szCs w:val="30"/>
        </w:rPr>
      </w:pPr>
      <w:r>
        <w:rPr>
          <w:rFonts w:hint="eastAsia" w:ascii="楷体" w:hAnsi="楷体" w:eastAsia="楷体"/>
          <w:spacing w:val="8"/>
          <w:sz w:val="30"/>
          <w:szCs w:val="30"/>
        </w:rPr>
        <w:t>城投企业</w:t>
      </w:r>
      <w:r>
        <w:rPr>
          <w:rFonts w:ascii="楷体" w:hAnsi="楷体" w:eastAsia="楷体"/>
          <w:spacing w:val="8"/>
          <w:sz w:val="30"/>
          <w:szCs w:val="30"/>
        </w:rPr>
        <w:t>市场化转型的政策导向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62"/>
        <w:jc w:val="both"/>
        <w:rPr>
          <w:rFonts w:ascii="楷体" w:hAnsi="楷体" w:eastAsia="楷体"/>
          <w:spacing w:val="8"/>
          <w:sz w:val="30"/>
          <w:szCs w:val="30"/>
        </w:rPr>
      </w:pPr>
      <w:r>
        <w:rPr>
          <w:rFonts w:ascii="楷体" w:hAnsi="楷体" w:eastAsia="楷体"/>
          <w:spacing w:val="8"/>
          <w:sz w:val="30"/>
          <w:szCs w:val="30"/>
        </w:rPr>
        <w:t>城投企业市场化转型的主要途径和方式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62"/>
        <w:jc w:val="both"/>
        <w:rPr>
          <w:rFonts w:ascii="楷体" w:hAnsi="楷体" w:eastAsia="楷体"/>
          <w:spacing w:val="8"/>
          <w:sz w:val="30"/>
          <w:szCs w:val="30"/>
        </w:rPr>
      </w:pPr>
      <w:r>
        <w:rPr>
          <w:rFonts w:ascii="楷体" w:hAnsi="楷体" w:eastAsia="楷体"/>
          <w:spacing w:val="8"/>
          <w:sz w:val="30"/>
          <w:szCs w:val="30"/>
        </w:rPr>
        <w:t>城投企业市场化转型案例分析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62"/>
        <w:jc w:val="both"/>
        <w:rPr>
          <w:rFonts w:ascii="楷体" w:hAnsi="楷体" w:eastAsia="楷体"/>
          <w:spacing w:val="8"/>
          <w:sz w:val="30"/>
          <w:szCs w:val="30"/>
        </w:rPr>
      </w:pPr>
      <w:r>
        <w:rPr>
          <w:rFonts w:hint="eastAsia" w:ascii="楷体" w:hAnsi="楷体" w:eastAsia="楷体"/>
          <w:spacing w:val="8"/>
          <w:sz w:val="30"/>
          <w:szCs w:val="30"/>
        </w:rPr>
        <w:t>城投企业如何操作文旅产业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62"/>
        <w:jc w:val="both"/>
        <w:rPr>
          <w:rFonts w:ascii="楷体" w:hAnsi="楷体" w:eastAsia="楷体"/>
          <w:spacing w:val="8"/>
          <w:sz w:val="30"/>
          <w:szCs w:val="30"/>
        </w:rPr>
      </w:pPr>
      <w:r>
        <w:rPr>
          <w:rFonts w:hint="eastAsia" w:ascii="楷体" w:hAnsi="楷体" w:eastAsia="楷体"/>
          <w:spacing w:val="8"/>
          <w:sz w:val="30"/>
          <w:szCs w:val="30"/>
        </w:rPr>
        <w:t>城投企业如何操作房地产业务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62"/>
        <w:jc w:val="both"/>
        <w:rPr>
          <w:rFonts w:ascii="楷体" w:hAnsi="楷体" w:eastAsia="楷体"/>
          <w:spacing w:val="8"/>
          <w:sz w:val="30"/>
          <w:szCs w:val="30"/>
        </w:rPr>
      </w:pPr>
      <w:r>
        <w:rPr>
          <w:rFonts w:hint="eastAsia" w:ascii="楷体" w:hAnsi="楷体" w:eastAsia="楷体"/>
          <w:spacing w:val="8"/>
          <w:sz w:val="30"/>
          <w:szCs w:val="30"/>
        </w:rPr>
        <w:t>城投企业如何参与乡村振兴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62"/>
        <w:jc w:val="both"/>
        <w:rPr>
          <w:rFonts w:ascii="楷体" w:hAnsi="楷体" w:eastAsia="楷体"/>
          <w:spacing w:val="8"/>
          <w:sz w:val="30"/>
          <w:szCs w:val="30"/>
        </w:rPr>
      </w:pPr>
      <w:r>
        <w:rPr>
          <w:rFonts w:hint="eastAsia" w:ascii="楷体" w:hAnsi="楷体" w:eastAsia="楷体"/>
          <w:spacing w:val="8"/>
          <w:sz w:val="30"/>
          <w:szCs w:val="30"/>
        </w:rPr>
        <w:t>城投企业如何参与智慧城市业务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62"/>
        <w:jc w:val="both"/>
        <w:rPr>
          <w:rFonts w:ascii="楷体" w:hAnsi="楷体" w:eastAsia="楷体"/>
          <w:spacing w:val="8"/>
          <w:sz w:val="30"/>
          <w:szCs w:val="30"/>
        </w:rPr>
      </w:pPr>
      <w:r>
        <w:rPr>
          <w:rFonts w:hint="eastAsia" w:ascii="楷体" w:hAnsi="楷体" w:eastAsia="楷体"/>
          <w:spacing w:val="8"/>
          <w:sz w:val="30"/>
          <w:szCs w:val="30"/>
        </w:rPr>
        <w:t>城投企业如何操作招商引资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62"/>
        <w:jc w:val="both"/>
        <w:rPr>
          <w:rFonts w:ascii="楷体" w:hAnsi="楷体" w:eastAsia="楷体"/>
          <w:spacing w:val="8"/>
          <w:sz w:val="30"/>
          <w:szCs w:val="30"/>
        </w:rPr>
      </w:pPr>
      <w:r>
        <w:rPr>
          <w:rFonts w:hint="eastAsia" w:ascii="楷体" w:hAnsi="楷体" w:eastAsia="楷体"/>
          <w:spacing w:val="8"/>
          <w:sz w:val="30"/>
          <w:szCs w:val="30"/>
        </w:rPr>
        <w:t>城投企业</w:t>
      </w:r>
      <w:r>
        <w:rPr>
          <w:rFonts w:ascii="楷体" w:hAnsi="楷体" w:eastAsia="楷体"/>
          <w:spacing w:val="8"/>
          <w:sz w:val="30"/>
          <w:szCs w:val="30"/>
        </w:rPr>
        <w:t>开展产业投资、运营与案例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62"/>
        <w:jc w:val="both"/>
        <w:rPr>
          <w:rFonts w:ascii="楷体" w:hAnsi="楷体" w:eastAsia="楷体"/>
          <w:spacing w:val="8"/>
          <w:sz w:val="30"/>
          <w:szCs w:val="30"/>
        </w:rPr>
      </w:pPr>
      <w:r>
        <w:rPr>
          <w:rFonts w:hint="eastAsia" w:ascii="楷体" w:hAnsi="楷体" w:eastAsia="楷体"/>
          <w:spacing w:val="8"/>
          <w:sz w:val="30"/>
          <w:szCs w:val="30"/>
        </w:rPr>
        <w:t>城投企业的涉水产业如何发展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62"/>
        <w:jc w:val="both"/>
        <w:rPr>
          <w:rFonts w:ascii="楷体" w:hAnsi="楷体" w:eastAsia="楷体"/>
          <w:spacing w:val="8"/>
          <w:sz w:val="30"/>
          <w:szCs w:val="30"/>
        </w:rPr>
      </w:pPr>
      <w:r>
        <w:rPr>
          <w:rFonts w:hint="eastAsia" w:ascii="楷体" w:hAnsi="楷体" w:eastAsia="楷体"/>
          <w:spacing w:val="8"/>
          <w:sz w:val="30"/>
          <w:szCs w:val="30"/>
        </w:rPr>
        <w:t>城投企业开展供应链贸易的动机是什么？操作模式有哪些？实践成败案例剖析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62"/>
        <w:jc w:val="both"/>
        <w:rPr>
          <w:rFonts w:ascii="楷体" w:hAnsi="楷体" w:eastAsia="楷体"/>
          <w:spacing w:val="8"/>
          <w:sz w:val="30"/>
          <w:szCs w:val="30"/>
        </w:rPr>
      </w:pPr>
      <w:r>
        <w:rPr>
          <w:rFonts w:hint="eastAsia" w:ascii="楷体" w:hAnsi="楷体" w:eastAsia="楷体"/>
          <w:spacing w:val="8"/>
          <w:sz w:val="30"/>
          <w:szCs w:val="30"/>
        </w:rPr>
        <w:t>城投企业如何真正转型产业金融</w:t>
      </w: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rStyle w:val="7"/>
          <w:rFonts w:ascii="楷体" w:hAnsi="楷体" w:eastAsia="楷体"/>
          <w:spacing w:val="8"/>
          <w:sz w:val="30"/>
          <w:szCs w:val="30"/>
        </w:rPr>
      </w:pPr>
      <w:r>
        <w:rPr>
          <w:rStyle w:val="7"/>
          <w:rFonts w:hint="eastAsia" w:ascii="楷体" w:hAnsi="楷体" w:eastAsia="楷体"/>
          <w:spacing w:val="8"/>
          <w:sz w:val="30"/>
          <w:szCs w:val="30"/>
        </w:rPr>
        <w:t>模块六、城投企业的治理与管控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62"/>
        <w:jc w:val="both"/>
        <w:rPr>
          <w:rFonts w:ascii="楷体" w:hAnsi="楷体" w:eastAsia="楷体"/>
          <w:spacing w:val="8"/>
          <w:sz w:val="30"/>
          <w:szCs w:val="30"/>
        </w:rPr>
      </w:pPr>
      <w:r>
        <w:rPr>
          <w:rFonts w:ascii="楷体" w:hAnsi="楷体" w:eastAsia="楷体"/>
          <w:spacing w:val="8"/>
          <w:sz w:val="30"/>
          <w:szCs w:val="30"/>
        </w:rPr>
        <w:t>基于现代企业制度建设的国资平台公司法人治理机制设计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62"/>
        <w:jc w:val="both"/>
        <w:rPr>
          <w:rFonts w:ascii="楷体" w:hAnsi="楷体" w:eastAsia="楷体"/>
          <w:spacing w:val="8"/>
          <w:sz w:val="30"/>
          <w:szCs w:val="30"/>
        </w:rPr>
      </w:pPr>
      <w:r>
        <w:rPr>
          <w:rFonts w:ascii="楷体" w:hAnsi="楷体" w:eastAsia="楷体"/>
          <w:spacing w:val="8"/>
          <w:sz w:val="30"/>
          <w:szCs w:val="30"/>
        </w:rPr>
        <w:t>国资平台公司重组整合后如何推进集团化变革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62"/>
        <w:jc w:val="both"/>
        <w:rPr>
          <w:rFonts w:ascii="楷体" w:hAnsi="楷体" w:eastAsia="楷体"/>
          <w:spacing w:val="8"/>
          <w:sz w:val="30"/>
          <w:szCs w:val="30"/>
        </w:rPr>
      </w:pPr>
      <w:r>
        <w:rPr>
          <w:rFonts w:ascii="楷体" w:hAnsi="楷体" w:eastAsia="楷体"/>
          <w:spacing w:val="8"/>
          <w:sz w:val="30"/>
          <w:szCs w:val="30"/>
        </w:rPr>
        <w:t>整合重组背景下平台类企业如何实现有效的母子公司管控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62"/>
        <w:jc w:val="both"/>
        <w:rPr>
          <w:rFonts w:ascii="楷体" w:hAnsi="楷体" w:eastAsia="楷体"/>
          <w:spacing w:val="8"/>
          <w:sz w:val="30"/>
          <w:szCs w:val="30"/>
        </w:rPr>
      </w:pPr>
      <w:r>
        <w:rPr>
          <w:rFonts w:ascii="楷体" w:hAnsi="楷体" w:eastAsia="楷体"/>
          <w:spacing w:val="8"/>
          <w:sz w:val="30"/>
          <w:szCs w:val="30"/>
        </w:rPr>
        <w:t>整合重组背景下国资平台公司如何进行财务集中管理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62"/>
        <w:jc w:val="both"/>
        <w:rPr>
          <w:rFonts w:ascii="楷体" w:hAnsi="楷体" w:eastAsia="楷体"/>
          <w:spacing w:val="8"/>
          <w:sz w:val="30"/>
          <w:szCs w:val="30"/>
        </w:rPr>
      </w:pPr>
      <w:r>
        <w:rPr>
          <w:rFonts w:ascii="楷体" w:hAnsi="楷体" w:eastAsia="楷体"/>
          <w:spacing w:val="8"/>
          <w:sz w:val="30"/>
          <w:szCs w:val="30"/>
        </w:rPr>
        <w:t>基于战略升级的国资平台公司组织管理体系设计</w:t>
      </w: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rStyle w:val="7"/>
          <w:rFonts w:ascii="楷体" w:hAnsi="楷体" w:eastAsia="楷体"/>
          <w:spacing w:val="8"/>
          <w:sz w:val="30"/>
          <w:szCs w:val="30"/>
        </w:rPr>
      </w:pPr>
      <w:r>
        <w:rPr>
          <w:rStyle w:val="7"/>
          <w:rFonts w:hint="eastAsia" w:ascii="楷体" w:hAnsi="楷体" w:eastAsia="楷体"/>
          <w:spacing w:val="8"/>
          <w:sz w:val="30"/>
          <w:szCs w:val="30"/>
        </w:rPr>
        <w:t>模块七、城投企业的国企改革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62"/>
        <w:jc w:val="both"/>
        <w:rPr>
          <w:rFonts w:ascii="楷体" w:hAnsi="楷体" w:eastAsia="楷体"/>
          <w:spacing w:val="8"/>
          <w:sz w:val="30"/>
          <w:szCs w:val="30"/>
        </w:rPr>
      </w:pPr>
      <w:r>
        <w:rPr>
          <w:rFonts w:ascii="楷体" w:hAnsi="楷体" w:eastAsia="楷体"/>
          <w:spacing w:val="8"/>
          <w:sz w:val="30"/>
          <w:szCs w:val="30"/>
        </w:rPr>
        <w:t>国资监管体制机制改革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62"/>
        <w:jc w:val="both"/>
        <w:rPr>
          <w:rFonts w:ascii="楷体" w:hAnsi="楷体" w:eastAsia="楷体"/>
          <w:spacing w:val="8"/>
          <w:sz w:val="30"/>
          <w:szCs w:val="30"/>
        </w:rPr>
      </w:pPr>
      <w:r>
        <w:rPr>
          <w:rFonts w:ascii="楷体" w:hAnsi="楷体" w:eastAsia="楷体"/>
          <w:spacing w:val="8"/>
          <w:sz w:val="30"/>
          <w:szCs w:val="30"/>
        </w:rPr>
        <w:t>国企改革背景下国资平台公司混合所有制改革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62"/>
        <w:jc w:val="both"/>
        <w:rPr>
          <w:rFonts w:ascii="楷体" w:hAnsi="楷体" w:eastAsia="楷体"/>
          <w:spacing w:val="8"/>
          <w:sz w:val="30"/>
          <w:szCs w:val="30"/>
        </w:rPr>
      </w:pPr>
      <w:r>
        <w:rPr>
          <w:rFonts w:ascii="楷体" w:hAnsi="楷体" w:eastAsia="楷体"/>
          <w:spacing w:val="8"/>
          <w:sz w:val="30"/>
          <w:szCs w:val="30"/>
        </w:rPr>
        <w:t>国资平台公司如何打造“两类公司”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62"/>
        <w:jc w:val="both"/>
        <w:rPr>
          <w:rFonts w:ascii="楷体" w:hAnsi="楷体" w:eastAsia="楷体"/>
          <w:spacing w:val="8"/>
          <w:sz w:val="30"/>
          <w:szCs w:val="30"/>
        </w:rPr>
      </w:pPr>
      <w:r>
        <w:rPr>
          <w:rFonts w:ascii="楷体" w:hAnsi="楷体" w:eastAsia="楷体"/>
          <w:spacing w:val="8"/>
          <w:sz w:val="30"/>
          <w:szCs w:val="30"/>
        </w:rPr>
        <w:t>国资平台公司三项制度改革</w:t>
      </w: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rStyle w:val="7"/>
          <w:rFonts w:ascii="楷体" w:hAnsi="楷体" w:eastAsia="楷体"/>
          <w:spacing w:val="8"/>
          <w:sz w:val="30"/>
          <w:szCs w:val="30"/>
        </w:rPr>
      </w:pPr>
      <w:r>
        <w:rPr>
          <w:rStyle w:val="7"/>
          <w:rFonts w:hint="eastAsia" w:ascii="楷体" w:hAnsi="楷体" w:eastAsia="楷体"/>
          <w:spacing w:val="8"/>
          <w:sz w:val="30"/>
          <w:szCs w:val="30"/>
        </w:rPr>
        <w:t>模块八、</w:t>
      </w:r>
      <w:r>
        <w:rPr>
          <w:rStyle w:val="7"/>
          <w:rFonts w:ascii="楷体" w:hAnsi="楷体" w:eastAsia="楷体"/>
          <w:spacing w:val="8"/>
          <w:sz w:val="30"/>
          <w:szCs w:val="30"/>
        </w:rPr>
        <w:t>城投企业</w:t>
      </w:r>
      <w:r>
        <w:rPr>
          <w:rStyle w:val="7"/>
          <w:rFonts w:hint="eastAsia" w:ascii="楷体" w:hAnsi="楷体" w:eastAsia="楷体"/>
          <w:spacing w:val="8"/>
          <w:sz w:val="30"/>
          <w:szCs w:val="30"/>
        </w:rPr>
        <w:t>管理者的领导力打造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62"/>
        <w:jc w:val="both"/>
        <w:rPr>
          <w:rFonts w:ascii="楷体" w:hAnsi="楷体" w:eastAsia="楷体"/>
          <w:spacing w:val="8"/>
          <w:sz w:val="30"/>
          <w:szCs w:val="30"/>
        </w:rPr>
      </w:pPr>
      <w:r>
        <w:rPr>
          <w:rFonts w:hint="eastAsia" w:ascii="楷体" w:hAnsi="楷体" w:eastAsia="楷体"/>
          <w:spacing w:val="8"/>
          <w:sz w:val="30"/>
          <w:szCs w:val="30"/>
        </w:rPr>
        <w:t>领导艺术与公司发展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62"/>
        <w:jc w:val="both"/>
        <w:rPr>
          <w:rFonts w:ascii="楷体" w:hAnsi="楷体" w:eastAsia="楷体"/>
          <w:spacing w:val="8"/>
          <w:sz w:val="30"/>
          <w:szCs w:val="30"/>
        </w:rPr>
      </w:pPr>
      <w:r>
        <w:rPr>
          <w:rFonts w:hint="eastAsia" w:ascii="楷体" w:hAnsi="楷体" w:eastAsia="楷体"/>
          <w:spacing w:val="8"/>
          <w:sz w:val="30"/>
          <w:szCs w:val="30"/>
        </w:rPr>
        <w:t>城投企业</w:t>
      </w:r>
      <w:r>
        <w:rPr>
          <w:rFonts w:ascii="楷体" w:hAnsi="楷体" w:eastAsia="楷体"/>
          <w:spacing w:val="8"/>
          <w:sz w:val="30"/>
          <w:szCs w:val="30"/>
        </w:rPr>
        <w:t>管理者之沟通与领导力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62"/>
        <w:jc w:val="both"/>
        <w:rPr>
          <w:rFonts w:ascii="楷体" w:hAnsi="楷体" w:eastAsia="楷体"/>
          <w:spacing w:val="8"/>
          <w:sz w:val="30"/>
          <w:szCs w:val="30"/>
        </w:rPr>
      </w:pPr>
      <w:r>
        <w:rPr>
          <w:rFonts w:hint="eastAsia" w:ascii="楷体" w:hAnsi="楷体" w:eastAsia="楷体"/>
          <w:spacing w:val="8"/>
          <w:sz w:val="30"/>
          <w:szCs w:val="30"/>
        </w:rPr>
        <w:t>城投企业</w:t>
      </w:r>
      <w:r>
        <w:rPr>
          <w:rFonts w:ascii="楷体" w:hAnsi="楷体" w:eastAsia="楷体"/>
          <w:spacing w:val="8"/>
          <w:sz w:val="30"/>
          <w:szCs w:val="30"/>
        </w:rPr>
        <w:t>中高层理念变革与创新思维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62"/>
        <w:jc w:val="both"/>
        <w:rPr>
          <w:rFonts w:ascii="楷体" w:hAnsi="楷体" w:eastAsia="楷体"/>
          <w:spacing w:val="8"/>
          <w:sz w:val="30"/>
          <w:szCs w:val="30"/>
        </w:rPr>
      </w:pPr>
      <w:r>
        <w:rPr>
          <w:rFonts w:hint="eastAsia" w:ascii="楷体" w:hAnsi="楷体" w:eastAsia="楷体"/>
          <w:spacing w:val="8"/>
          <w:sz w:val="30"/>
          <w:szCs w:val="30"/>
        </w:rPr>
        <w:t>80/90员工管理的思维转型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62"/>
        <w:jc w:val="both"/>
        <w:rPr>
          <w:rFonts w:ascii="楷体" w:hAnsi="楷体" w:eastAsia="楷体"/>
          <w:spacing w:val="8"/>
          <w:sz w:val="30"/>
          <w:szCs w:val="30"/>
        </w:rPr>
      </w:pPr>
      <w:r>
        <w:rPr>
          <w:rFonts w:hint="eastAsia" w:ascii="楷体" w:hAnsi="楷体" w:eastAsia="楷体"/>
          <w:spacing w:val="8"/>
          <w:sz w:val="30"/>
          <w:szCs w:val="30"/>
        </w:rPr>
        <w:t>非财务人员的财务管理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/>
        <w:ind w:right="62"/>
        <w:jc w:val="both"/>
        <w:rPr>
          <w:rFonts w:ascii="楷体" w:hAnsi="楷体" w:eastAsia="楷体" w:cs="宋体"/>
          <w:spacing w:val="8"/>
          <w:sz w:val="30"/>
          <w:szCs w:val="30"/>
        </w:rPr>
      </w:pPr>
      <w:r>
        <w:rPr>
          <w:rFonts w:hint="eastAsia" w:ascii="楷体" w:hAnsi="楷体" w:eastAsia="楷体"/>
          <w:spacing w:val="8"/>
          <w:sz w:val="30"/>
          <w:szCs w:val="30"/>
        </w:rPr>
        <w:t>非人力资源人员的人力资源管理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GPAVWE+STHeiti">
    <w:altName w:val="Segoe Print"/>
    <w:panose1 w:val="00000000000000000000"/>
    <w:charset w:val="01"/>
    <w:family w:val="auto"/>
    <w:pitch w:val="default"/>
    <w:sig w:usb0="00000000" w:usb1="00000000" w:usb2="01010101" w:usb3="01010101" w:csb0="01010101" w:csb1="01010101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31458095"/>
      <w:docPartObj>
        <w:docPartGallery w:val="AutoText"/>
      </w:docPartObj>
    </w:sdtPr>
    <w:sdtContent>
      <w:sdt>
        <w:sdtPr>
          <w:id w:val="-1705238520"/>
          <w:docPartObj>
            <w:docPartGallery w:val="AutoText"/>
          </w:docPartObj>
        </w:sdtPr>
        <w:sdtContent>
          <w:p>
            <w:pPr>
              <w:pStyle w:val="2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ascii="仿宋" w:hAnsi="仿宋" w:eastAsia="仿宋"/>
      </w:rPr>
    </w:pPr>
    <w:r>
      <w:rPr>
        <w:rFonts w:hint="eastAsia" w:ascii="仿宋" w:hAnsi="仿宋" w:eastAsia="仿宋"/>
      </w:rPr>
      <w:t xml:space="preserve">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012A5B"/>
    <w:multiLevelType w:val="multilevel"/>
    <w:tmpl w:val="17012A5B"/>
    <w:lvl w:ilvl="0" w:tentative="0">
      <w:start w:val="1"/>
      <w:numFmt w:val="bullet"/>
      <w:lvlText w:val=""/>
      <w:lvlJc w:val="left"/>
      <w:pPr>
        <w:ind w:left="116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60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04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48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92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6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80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4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680" w:hanging="44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ViN2JiNTZkMTc1YzQzZmE1ZmRjZWM3YzkwNjI5MTkifQ=="/>
  </w:docVars>
  <w:rsids>
    <w:rsidRoot w:val="00402150"/>
    <w:rsid w:val="00243C4E"/>
    <w:rsid w:val="003F5E94"/>
    <w:rsid w:val="00402150"/>
    <w:rsid w:val="00820BD2"/>
    <w:rsid w:val="008345CD"/>
    <w:rsid w:val="008D5921"/>
    <w:rsid w:val="00994325"/>
    <w:rsid w:val="00A33D64"/>
    <w:rsid w:val="00D76F62"/>
    <w:rsid w:val="00DB7DDB"/>
    <w:rsid w:val="00DE1A2B"/>
    <w:rsid w:val="00F62DDF"/>
    <w:rsid w:val="7FAF4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cs="Times New Roman" w:asciiTheme="minorHAnsi" w:hAnsiTheme="minorHAnsi" w:eastAsiaTheme="minorEastAsia"/>
      <w:kern w:val="0"/>
      <w:sz w:val="24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spacing w:before="100" w:beforeAutospacing="1" w:after="100" w:afterAutospacing="1"/>
    </w:pPr>
    <w:rPr>
      <w:rFonts w:ascii="宋体" w:hAnsi="宋体" w:eastAsia="宋体" w:cs="宋体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字符"/>
    <w:basedOn w:val="6"/>
    <w:link w:val="3"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uiPriority w:val="99"/>
    <w:rPr>
      <w:sz w:val="18"/>
      <w:szCs w:val="18"/>
    </w:rPr>
  </w:style>
  <w:style w:type="paragraph" w:customStyle="1" w:styleId="10">
    <w:name w:val="Normal_2"/>
    <w:uiPriority w:val="0"/>
    <w:pPr>
      <w:spacing w:before="120" w:after="240"/>
      <w:jc w:val="both"/>
    </w:pPr>
    <w:rPr>
      <w:rFonts w:ascii="Calibri" w:hAnsi="Calibri" w:eastAsia="宋体" w:cs="黑体"/>
      <w:kern w:val="0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1297</Words>
  <Characters>1325</Characters>
  <Lines>9</Lines>
  <Paragraphs>2</Paragraphs>
  <TotalTime>13</TotalTime>
  <ScaleCrop>false</ScaleCrop>
  <LinksUpToDate>false</LinksUpToDate>
  <CharactersWithSpaces>1325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2023-04-24T01:44:00Z</dcterms:created>
  <dc:creator>李志坚</dc:creator>
  <cp:lastModifiedBy>蓉儿</cp:lastModifiedBy>
  <dcterms:modified xsi:type="dcterms:W3CDTF">2023-07-11T08:19:33Z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55FF62D7B51A4FA8839F393AD7744F5C_12</vt:lpwstr>
  </property>
</Properties>
</file>