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微软雅黑" w:cs="微软雅黑" w:eastAsia="微软雅黑" w:hAnsi="微软雅黑"/>
          <w:b/>
          <w:bCs/>
          <w:sz w:val="48"/>
          <w:szCs w:val="48"/>
        </w:rPr>
      </w:pPr>
      <w:bookmarkStart w:id="0" w:name="_GoBack"/>
      <w:r>
        <w:rPr>
          <w:rFonts w:ascii="微软雅黑" w:cs="微软雅黑" w:eastAsia="微软雅黑" w:hAnsi="微软雅黑" w:hint="eastAsia"/>
          <w:b/>
          <w:bCs/>
          <w:sz w:val="48"/>
          <w:szCs w:val="48"/>
          <w:lang w:val="zh-CN"/>
        </w:rPr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257175</wp:posOffset>
                </wp:positionH>
                <wp:positionV relativeFrom="paragraph">
                  <wp:posOffset>566420</wp:posOffset>
                </wp:positionV>
                <wp:extent cx="6086475" cy="23494"/>
                <wp:effectExtent l="0" t="0" r="29210" b="33655"/>
                <wp:wrapNone/>
                <wp:docPr id="1026" name="直接连接符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086475" cy="23494"/>
                        </a:xfrm>
                        <a:prstGeom prst="line"/>
                        <a:ln cmpd="sng" cap="flat" w="6350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6" filled="f" stroked="t" from="20.25pt,44.6pt" to="499.5pt,46.449997pt" style="position:absolute;z-index:6;mso-position-horizontal-relative:text;mso-position-vertical-relative:text;mso-width-relative:page;mso-height-relative:page;mso-wrap-distance-left:0.0pt;mso-wrap-distance-right:0.0pt;visibility:visible;">
                <v:stroke joinstyle="miter" weight="0.5pt"/>
                <v:fill/>
              </v:line>
            </w:pict>
          </mc:Fallback>
        </mc:AlternateContent>
      </w:r>
      <w:r>
        <w:rPr>
          <w:rFonts w:ascii="微软雅黑" w:cs="微软雅黑" w:eastAsia="微软雅黑" w:hAnsi="微软雅黑" w:hint="eastAsia"/>
          <w:b/>
          <w:bCs/>
          <w:sz w:val="48"/>
          <w:szCs w:val="48"/>
        </w:rPr>
        <w:t>群策群力</w:t>
      </w:r>
      <w:r>
        <w:rPr>
          <w:rFonts w:ascii="微软雅黑" w:cs="微软雅黑" w:eastAsia="微软雅黑" w:hAnsi="微软雅黑" w:hint="eastAsia"/>
          <w:b/>
          <w:bCs/>
          <w:sz w:val="48"/>
          <w:szCs w:val="48"/>
          <w:lang w:val="en-US" w:eastAsia="zh-CN"/>
        </w:rPr>
        <w:t>技术</w:t>
      </w:r>
      <w:r>
        <w:rPr>
          <w:rFonts w:ascii="微软雅黑" w:cs="微软雅黑" w:eastAsia="微软雅黑" w:hAnsi="微软雅黑" w:hint="eastAsia"/>
          <w:b/>
          <w:bCs/>
          <w:sz w:val="48"/>
          <w:szCs w:val="48"/>
        </w:rPr>
        <w:t>——课题分析与解决工作坊</w:t>
      </w:r>
    </w:p>
    <w:bookmarkEnd w:id="0"/>
    <w:p>
      <w:pPr>
        <w:pStyle w:val="style0"/>
        <w:ind w:left="420" w:leftChars="200"/>
        <w:jc w:val="center"/>
        <w:rPr>
          <w:rFonts w:ascii="微软雅黑" w:cs="微软雅黑" w:eastAsia="微软雅黑" w:hAnsi="微软雅黑"/>
          <w:b/>
          <w:bCs/>
          <w:sz w:val="28"/>
          <w:szCs w:val="28"/>
        </w:rPr>
      </w:pPr>
      <w:r>
        <w:rPr>
          <w:rFonts w:ascii="微软雅黑" w:cs="微软雅黑" w:eastAsia="微软雅黑" w:hAnsi="微软雅黑" w:hint="eastAsia"/>
          <w:b/>
          <w:bCs/>
          <w:sz w:val="28"/>
          <w:szCs w:val="28"/>
        </w:rPr>
        <w:t xml:space="preserve">                                             引导教练：薛魁铭</w:t>
      </w:r>
    </w:p>
    <w:p>
      <w:pPr>
        <w:pStyle w:val="style0"/>
        <w:rPr>
          <w:rFonts w:ascii="微软雅黑" w:cs="微软雅黑" w:eastAsia="微软雅黑" w:hAnsi="微软雅黑"/>
          <w:b/>
          <w:bCs/>
          <w:i/>
          <w:iCs/>
          <w:color w:val="2e75b6"/>
          <w:sz w:val="32"/>
          <w:szCs w:val="32"/>
        </w:rPr>
      </w:pPr>
      <w:r>
        <w:rPr>
          <w:rFonts w:ascii="微软雅黑" w:cs="微软雅黑" w:eastAsia="微软雅黑" w:hAnsi="微软雅黑" w:hint="eastAsia"/>
          <w:b/>
          <w:bCs/>
          <w:color w:val="c00000"/>
          <w:sz w:val="32"/>
          <w:szCs w:val="32"/>
        </w:rPr>
        <w:t>行动学习技术</w:t>
      </w:r>
      <w:r>
        <w:rPr>
          <w:rFonts w:ascii="微软雅黑" w:cs="微软雅黑" w:eastAsia="微软雅黑" w:hAnsi="微软雅黑" w:hint="eastAsia"/>
          <w:b/>
          <w:bCs/>
          <w:i/>
          <w:iCs/>
          <w:color w:val="2e75b6"/>
          <w:sz w:val="32"/>
          <w:szCs w:val="32"/>
        </w:rPr>
        <w:t xml:space="preserve">—— </w:t>
      </w:r>
      <w:r>
        <w:rPr>
          <w:rFonts w:ascii="微软雅黑" w:cs="微软雅黑" w:eastAsia="微软雅黑" w:hAnsi="微软雅黑"/>
          <w:b/>
          <w:bCs/>
          <w:color w:val="2e75b6"/>
          <w:sz w:val="32"/>
          <w:szCs w:val="32"/>
        </w:rPr>
        <w:t>世界500强</w:t>
      </w:r>
      <w:r>
        <w:rPr>
          <w:rFonts w:ascii="微软雅黑" w:cs="微软雅黑" w:eastAsia="微软雅黑" w:hAnsi="微软雅黑" w:hint="eastAsia"/>
          <w:b/>
          <w:bCs/>
          <w:color w:val="2e75b6"/>
          <w:sz w:val="32"/>
          <w:szCs w:val="32"/>
        </w:rPr>
        <w:t>都在用，且经过20年中国本土大中小企业应用验证了的</w:t>
      </w:r>
      <w:r>
        <w:rPr>
          <w:rFonts w:ascii="微软雅黑" w:cs="微软雅黑" w:eastAsia="微软雅黑" w:hAnsi="微软雅黑" w:hint="eastAsia"/>
          <w:b/>
          <w:bCs/>
          <w:color w:val="c00000"/>
          <w:sz w:val="32"/>
          <w:szCs w:val="32"/>
        </w:rPr>
        <w:t>“</w:t>
      </w:r>
      <w:r>
        <w:rPr>
          <w:rFonts w:ascii="微软雅黑" w:cs="微软雅黑" w:eastAsia="微软雅黑" w:hAnsi="微软雅黑" w:hint="eastAsia"/>
          <w:b/>
          <w:bCs/>
          <w:i/>
          <w:iCs/>
          <w:color w:val="c00000"/>
          <w:sz w:val="32"/>
          <w:szCs w:val="32"/>
        </w:rPr>
        <w:t>一学就会，会了就用，用了就有大效果”</w:t>
      </w:r>
      <w:r>
        <w:rPr>
          <w:rFonts w:ascii="微软雅黑" w:cs="微软雅黑" w:eastAsia="微软雅黑" w:hAnsi="微软雅黑" w:hint="eastAsia"/>
          <w:b/>
          <w:bCs/>
          <w:i/>
          <w:iCs/>
          <w:color w:val="2e75b6"/>
          <w:sz w:val="32"/>
          <w:szCs w:val="32"/>
        </w:rPr>
        <w:t>的实战技术！</w:t>
      </w:r>
    </w:p>
    <w:p>
      <w:pPr>
        <w:pStyle w:val="style94"/>
        <w:widowControl/>
        <w:numPr>
          <w:ilvl w:val="0"/>
          <w:numId w:val="1"/>
        </w:numPr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【课程背景】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br/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 xml:space="preserve">    群策群力-课题分析与解决工作坊，是以行动学习的方式进行，选取企业遇到的</w:t>
      </w:r>
      <w:r>
        <w:rPr>
          <w:rFonts w:ascii="微软雅黑" w:cs="微软雅黑" w:eastAsia="微软雅黑" w:hAnsi="微软雅黑" w:hint="eastAsia"/>
          <w:b/>
          <w:bCs/>
          <w:color w:val="c00000"/>
          <w:sz w:val="21"/>
          <w:szCs w:val="21"/>
        </w:rPr>
        <w:t>实际问题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作为选题，透过行动学习解决问题的工具练习，并且根据工作中遇到的现实问题加以验证，以及追踪其成效。</w:t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>
          <w:rFonts w:ascii="微软雅黑" w:cs="微软雅黑" w:eastAsia="微软雅黑" w:hAnsi="微软雅黑" w:hint="eastAsia"/>
          <w:b/>
          <w:bCs/>
          <w:color w:val="0000ff"/>
          <w:sz w:val="21"/>
          <w:szCs w:val="21"/>
        </w:rPr>
        <w:t>行动学习法（Action Learning）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又称“干中学”，就是通过行动实践学习，以组织面临的重要问题作载体,学习者通过团队合作的形式对实际工作中的问题、任务、项目等进行处理和反思,反思自己的经验，同时向团队中成员相互学习与提问，在这过程中让团队产生情感、态度、知识、思想、行为的变化，从而达到开发人力资源和发展组织的目的，提升成员解决问题的能力。</w:t>
      </w:r>
    </w:p>
    <w:p>
      <w:pPr>
        <w:pStyle w:val="style94"/>
        <w:widowControl/>
        <w:numPr>
          <w:ilvl w:val="0"/>
          <w:numId w:val="1"/>
        </w:numPr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【课题解决突破行动路线图】</w:t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/>
        <w:drawing>
          <wp:anchor distT="0" distB="0" distL="0" distR="0" simplePos="false" relativeHeight="5" behindDoc="false" locked="false" layoutInCell="true" allowOverlap="true">
            <wp:simplePos x="0" y="0"/>
            <wp:positionH relativeFrom="column">
              <wp:posOffset>118745</wp:posOffset>
            </wp:positionH>
            <wp:positionV relativeFrom="paragraph">
              <wp:posOffset>288290</wp:posOffset>
            </wp:positionV>
            <wp:extent cx="6414134" cy="3408045"/>
            <wp:effectExtent l="0" t="0" r="5715" b="1905"/>
            <wp:wrapTopAndBottom/>
            <wp:docPr id="1027" name="图片 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414134" cy="340804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</w:p>
    <w:p>
      <w:pPr>
        <w:pStyle w:val="style94"/>
        <w:widowControl/>
        <w:numPr>
          <w:ilvl w:val="0"/>
          <w:numId w:val="1"/>
        </w:numPr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【课程方式】</w:t>
      </w:r>
      <w:r>
        <w:rPr>
          <w:rFonts w:ascii="微软雅黑" w:eastAsia="微软雅黑" w:hAnsi="微软雅黑" w:hint="eastAsia"/>
          <w:b/>
          <w:bCs/>
          <w:color w:val="0070c0"/>
        </w:rPr>
        <w:t>高度互动工作坊+工具学习+现场结合实际出方案及成果</w:t>
      </w:r>
      <w:r>
        <w:rPr>
          <w:rFonts w:ascii="微软雅黑" w:cs="微软雅黑" w:eastAsia="微软雅黑" w:hAnsi="微软雅黑" w:hint="eastAsia"/>
          <w:color w:val="0070c0"/>
          <w:sz w:val="21"/>
          <w:szCs w:val="21"/>
        </w:rPr>
        <w:br/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1、</w:t>
      </w:r>
      <w:r>
        <w:rPr>
          <w:rFonts w:ascii="微软雅黑" w:cs="微软雅黑" w:eastAsia="微软雅黑" w:hAnsi="微软雅黑" w:hint="eastAsia"/>
          <w:b/>
          <w:bCs/>
          <w:color w:val="000000"/>
          <w:sz w:val="21"/>
          <w:szCs w:val="21"/>
        </w:rPr>
        <w:t xml:space="preserve">  </w:t>
      </w:r>
      <w:r>
        <w:rPr>
          <w:rFonts w:ascii="微软雅黑" w:cs="微软雅黑" w:eastAsia="微软雅黑" w:hAnsi="微软雅黑" w:hint="eastAsia"/>
          <w:b/>
          <w:bCs/>
          <w:color w:val="c00000"/>
          <w:sz w:val="21"/>
          <w:szCs w:val="21"/>
        </w:rPr>
        <w:t>逻辑绘画+情景剧，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体验活动导入，身心感受创新，原理深入讲解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br/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 xml:space="preserve">2、 </w:t>
      </w:r>
      <w:r>
        <w:rPr>
          <w:rFonts w:ascii="微软雅黑" w:cs="微软雅黑" w:eastAsia="微软雅黑" w:hAnsi="微软雅黑" w:hint="eastAsia"/>
          <w:b/>
          <w:bCs/>
          <w:color w:val="c00000"/>
          <w:sz w:val="21"/>
          <w:szCs w:val="21"/>
        </w:rPr>
        <w:t>魔力</w:t>
      </w:r>
      <w:r>
        <w:rPr>
          <w:rFonts w:ascii="微软雅黑" w:cs="微软雅黑" w:eastAsia="微软雅黑" w:hAnsi="微软雅黑" w:hint="eastAsia"/>
          <w:b/>
          <w:bCs/>
          <w:color w:val="c00000"/>
          <w:sz w:val="21"/>
          <w:szCs w:val="21"/>
          <w:lang w:eastAsia="zh-CN"/>
        </w:rPr>
        <w:t>卡牌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思维碰撞分享，互动学习参与，真实问题研讨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br/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3、 小组观点竞赛，聚焦中心主题，付诸行动实践</w:t>
      </w:r>
    </w:p>
    <w:p>
      <w:pPr>
        <w:pStyle w:val="style0"/>
        <w:rPr>
          <w:rFonts w:ascii="微软雅黑" w:cs="微软雅黑" w:eastAsia="微软雅黑" w:hAnsi="微软雅黑"/>
          <w:szCs w:val="21"/>
        </w:rPr>
      </w:pPr>
      <w:r>
        <w:rPr>
          <w:rFonts w:ascii="微软雅黑" w:cs="微软雅黑" w:eastAsia="微软雅黑" w:hAnsi="微软雅黑" w:hint="eastAsia"/>
          <w:b/>
          <w:bCs/>
        </w:rPr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column">
              <wp:posOffset>3956684</wp:posOffset>
            </wp:positionH>
            <wp:positionV relativeFrom="paragraph">
              <wp:posOffset>113665</wp:posOffset>
            </wp:positionV>
            <wp:extent cx="2057400" cy="2300605"/>
            <wp:effectExtent l="0" t="0" r="0" b="4445"/>
            <wp:wrapSquare wrapText="bothSides"/>
            <wp:docPr id="1028" name="图片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057400" cy="230060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cs="微软雅黑" w:eastAsia="微软雅黑" w:hAnsi="微软雅黑" w:hint="eastAsia"/>
          <w:szCs w:val="21"/>
        </w:rPr>
        <w:t xml:space="preserve">4、 </w:t>
      </w:r>
      <w:r>
        <w:rPr>
          <w:rFonts w:ascii="微软雅黑" w:cs="微软雅黑" w:eastAsia="微软雅黑" w:hAnsi="微软雅黑" w:hint="eastAsia"/>
          <w:color w:val="0000ff"/>
          <w:szCs w:val="21"/>
        </w:rPr>
        <w:t xml:space="preserve"> </w:t>
      </w:r>
      <w:r>
        <w:rPr>
          <w:rFonts w:ascii="微软雅黑" w:cs="微软雅黑" w:eastAsia="微软雅黑" w:hAnsi="微软雅黑" w:hint="eastAsia"/>
          <w:color w:val="c00000"/>
          <w:szCs w:val="21"/>
        </w:rPr>
        <w:t>教练+引导技术+视觉呈现</w:t>
      </w:r>
    </w:p>
    <w:p>
      <w:pPr>
        <w:pStyle w:val="style0"/>
        <w:rPr>
          <w:rFonts w:ascii="微软雅黑" w:cs="微软雅黑" w:eastAsia="微软雅黑" w:hAnsi="微软雅黑"/>
          <w:szCs w:val="21"/>
        </w:rPr>
      </w:pPr>
      <w:r>
        <w:rPr/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1228725</wp:posOffset>
            </wp:positionH>
            <wp:positionV relativeFrom="paragraph">
              <wp:posOffset>122555</wp:posOffset>
            </wp:positionV>
            <wp:extent cx="1876424" cy="1838325"/>
            <wp:effectExtent l="0" t="0" r="0" b="0"/>
            <wp:wrapTopAndBottom/>
            <wp:docPr id="1029" name="图片 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876424" cy="18383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rPr>
          <w:rFonts w:ascii="微软雅黑" w:cs="微软雅黑" w:eastAsia="微软雅黑" w:hAnsi="微软雅黑"/>
          <w:b/>
          <w:bCs/>
          <w:color w:val="000000"/>
          <w:kern w:val="0"/>
          <w:sz w:val="28"/>
          <w:szCs w:val="28"/>
        </w:rPr>
      </w:pPr>
    </w:p>
    <w:p>
      <w:pPr>
        <w:pStyle w:val="style0"/>
        <w:rPr>
          <w:rFonts w:ascii="微软雅黑" w:cs="微软雅黑" w:eastAsia="微软雅黑" w:hAnsi="微软雅黑"/>
          <w:b/>
          <w:bCs/>
          <w:color w:val="000000"/>
          <w:kern w:val="0"/>
          <w:sz w:val="28"/>
          <w:szCs w:val="28"/>
        </w:rPr>
      </w:pPr>
    </w:p>
    <w:p>
      <w:pPr>
        <w:pStyle w:val="style0"/>
        <w:rPr>
          <w:rFonts w:ascii="微软雅黑" w:cs="微软雅黑" w:eastAsia="微软雅黑" w:hAnsi="微软雅黑"/>
          <w:b/>
          <w:bCs/>
          <w:color w:val="000000"/>
          <w:kern w:val="0"/>
          <w:sz w:val="28"/>
          <w:szCs w:val="28"/>
        </w:rPr>
      </w:pPr>
    </w:p>
    <w:p>
      <w:pPr>
        <w:pStyle w:val="style0"/>
        <w:rPr>
          <w:rFonts w:ascii="微软雅黑" w:cs="微软雅黑" w:eastAsia="微软雅黑" w:hAnsi="微软雅黑"/>
          <w:b/>
          <w:bCs/>
          <w:color w:val="000000"/>
          <w:kern w:val="0"/>
          <w:sz w:val="28"/>
          <w:szCs w:val="28"/>
        </w:rPr>
      </w:pPr>
    </w:p>
    <w:p>
      <w:pPr>
        <w:pStyle w:val="style0"/>
        <w:rPr>
          <w:rFonts w:ascii="微软雅黑" w:cs="微软雅黑" w:eastAsia="微软雅黑" w:hAnsi="微软雅黑"/>
          <w:b/>
          <w:bCs/>
          <w:color w:val="000000"/>
          <w:kern w:val="0"/>
          <w:sz w:val="28"/>
          <w:szCs w:val="28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kern w:val="0"/>
          <w:sz w:val="28"/>
          <w:szCs w:val="28"/>
        </w:rPr>
        <w:t>三、【课程价值】</w:t>
      </w:r>
    </w:p>
    <w:p>
      <w:pPr>
        <w:pStyle w:val="style0"/>
        <w:rPr>
          <w:rFonts w:ascii="微软雅黑" w:cs="微软雅黑" w:eastAsia="微软雅黑" w:hAnsi="微软雅黑"/>
          <w:b/>
          <w:bCs/>
          <w:color w:val="0070c0"/>
          <w:sz w:val="32"/>
          <w:szCs w:val="32"/>
        </w:rPr>
      </w:pPr>
      <w:r>
        <w:rPr>
          <w:rFonts w:ascii="微软雅黑" w:cs="微软雅黑" w:eastAsia="微软雅黑" w:hAnsi="微软雅黑" w:hint="eastAsia"/>
          <w:szCs w:val="21"/>
        </w:rPr>
        <w:t xml:space="preserve">   </w:t>
      </w:r>
      <w:r>
        <w:rPr>
          <w:rFonts w:ascii="微软雅黑" w:cs="微软雅黑" w:eastAsia="微软雅黑" w:hAnsi="微软雅黑" w:hint="eastAsia"/>
          <w:b/>
          <w:bCs/>
          <w:color w:val="c00000"/>
          <w:sz w:val="28"/>
          <w:szCs w:val="28"/>
        </w:rPr>
        <w:t>带</w:t>
      </w:r>
      <w:r>
        <w:rPr>
          <w:rFonts w:ascii="微软雅黑" w:cs="微软雅黑" w:eastAsia="微软雅黑" w:hAnsi="微软雅黑" w:hint="eastAsia"/>
          <w:b/>
          <w:bCs/>
          <w:color w:val="0070c0"/>
          <w:sz w:val="28"/>
          <w:szCs w:val="28"/>
        </w:rPr>
        <w:t>着您遇到的</w:t>
      </w:r>
      <w:r>
        <w:rPr>
          <w:rFonts w:ascii="微软雅黑" w:cs="微软雅黑" w:eastAsia="微软雅黑" w:hAnsi="微软雅黑" w:hint="eastAsia"/>
          <w:b/>
          <w:bCs/>
          <w:color w:val="c00000"/>
          <w:sz w:val="28"/>
          <w:szCs w:val="28"/>
        </w:rPr>
        <w:t>真实问题来</w:t>
      </w:r>
      <w:r>
        <w:rPr>
          <w:rFonts w:ascii="微软雅黑" w:cs="微软雅黑" w:eastAsia="微软雅黑" w:hAnsi="微软雅黑" w:hint="eastAsia"/>
          <w:b/>
          <w:bCs/>
          <w:color w:val="0070c0"/>
          <w:sz w:val="28"/>
          <w:szCs w:val="28"/>
        </w:rPr>
        <w:t>，</w:t>
      </w:r>
      <w:r>
        <w:rPr>
          <w:rFonts w:ascii="微软雅黑" w:cs="微软雅黑" w:eastAsia="微软雅黑" w:hAnsi="微软雅黑" w:hint="eastAsia"/>
          <w:b/>
          <w:bCs/>
          <w:color w:val="c00000"/>
          <w:sz w:val="28"/>
          <w:szCs w:val="28"/>
        </w:rPr>
        <w:t>带</w:t>
      </w:r>
      <w:r>
        <w:rPr>
          <w:rFonts w:ascii="微软雅黑" w:cs="微软雅黑" w:eastAsia="微软雅黑" w:hAnsi="微软雅黑" w:hint="eastAsia"/>
          <w:b/>
          <w:bCs/>
          <w:color w:val="0070c0"/>
          <w:sz w:val="28"/>
          <w:szCs w:val="28"/>
        </w:rPr>
        <w:t>着至少</w:t>
      </w:r>
      <w:r>
        <w:rPr>
          <w:rFonts w:ascii="微软雅黑" w:cs="微软雅黑" w:eastAsia="微软雅黑" w:hAnsi="微软雅黑" w:hint="eastAsia"/>
          <w:b/>
          <w:bCs/>
          <w:color w:val="c00000"/>
          <w:sz w:val="28"/>
          <w:szCs w:val="28"/>
        </w:rPr>
        <w:t>两套</w:t>
      </w:r>
      <w:r>
        <w:rPr>
          <w:rFonts w:ascii="微软雅黑" w:cs="微软雅黑" w:eastAsia="微软雅黑" w:hAnsi="微软雅黑" w:hint="eastAsia"/>
          <w:b/>
          <w:bCs/>
          <w:color w:val="0070c0"/>
          <w:sz w:val="28"/>
          <w:szCs w:val="28"/>
        </w:rPr>
        <w:t>可落地的行动</w:t>
      </w:r>
      <w:r>
        <w:rPr>
          <w:rFonts w:ascii="微软雅黑" w:cs="微软雅黑" w:eastAsia="微软雅黑" w:hAnsi="微软雅黑" w:hint="eastAsia"/>
          <w:b/>
          <w:bCs/>
          <w:color w:val="c00000"/>
          <w:sz w:val="28"/>
          <w:szCs w:val="28"/>
        </w:rPr>
        <w:t>方案和工具走！</w:t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drawing>
          <wp:anchor distT="0" distB="0" distL="114300" distR="114300" simplePos="false" relativeHeight="4" behindDoc="false" locked="false" layoutInCell="true" allowOverlap="true">
            <wp:simplePos x="0" y="0"/>
            <wp:positionH relativeFrom="column">
              <wp:posOffset>1365250</wp:posOffset>
            </wp:positionH>
            <wp:positionV relativeFrom="paragraph">
              <wp:posOffset>137160</wp:posOffset>
            </wp:positionV>
            <wp:extent cx="4044950" cy="2217420"/>
            <wp:effectExtent l="0" t="0" r="3175" b="1905"/>
            <wp:wrapSquare wrapText="bothSides"/>
            <wp:docPr id="1030" name="图片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044950" cy="221742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b/>
          <w:bCs/>
          <w:color w:val="000000"/>
          <w:sz w:val="28"/>
          <w:szCs w:val="28"/>
        </w:rPr>
      </w:pP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cs="微软雅黑" w:eastAsia="微软雅黑" w:hAnsi="微软雅黑"/>
          <w:color w:val="000000"/>
          <w:sz w:val="21"/>
          <w:szCs w:val="21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四、【学员对象】：</w:t>
      </w:r>
      <w:r>
        <w:rPr>
          <w:rFonts w:ascii="微软雅黑" w:cs="微软雅黑" w:eastAsia="微软雅黑" w:hAnsi="微软雅黑" w:hint="eastAsia"/>
          <w:color w:val="c00000"/>
          <w:sz w:val="21"/>
          <w:szCs w:val="21"/>
        </w:rPr>
        <w:t>与所解决的课题相关的所有核心人员</w:t>
        <w:br/>
      </w: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五、【授课时长】</w:t>
      </w: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：1</w:t>
      </w:r>
      <w:r>
        <w:rPr>
          <w:rFonts w:ascii="微软雅黑" w:cs="微软雅黑" w:eastAsia="微软雅黑" w:hAnsi="微软雅黑" w:hint="eastAsia"/>
          <w:color w:val="000000"/>
          <w:sz w:val="21"/>
          <w:szCs w:val="21"/>
        </w:rPr>
        <w:t>天 6小时（9:00-12:00；14:00-17:00）</w:t>
      </w:r>
    </w:p>
    <w:p>
      <w:pPr>
        <w:pStyle w:val="style94"/>
        <w:widowControl/>
        <w:wordWrap w:val="false"/>
        <w:spacing w:beforeAutospacing="false" w:afterAutospacing="false" w:lineRule="auto" w:line="360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六、【课程大纲</w:t>
      </w:r>
      <w:bookmarkStart w:id="1" w:name="_Toc312938727"/>
      <w:r>
        <w:rPr>
          <w:rFonts w:ascii="微软雅黑" w:cs="微软雅黑" w:eastAsia="微软雅黑" w:hAnsi="微软雅黑" w:hint="eastAsia"/>
          <w:b/>
          <w:bCs/>
          <w:color w:val="000000"/>
          <w:sz w:val="28"/>
          <w:szCs w:val="28"/>
        </w:rPr>
        <w:t>与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实施流程</w:t>
      </w:r>
      <w:bookmarkEnd w:id="1"/>
      <w:r>
        <w:rPr>
          <w:rFonts w:ascii="微软雅黑" w:eastAsia="微软雅黑" w:hAnsi="微软雅黑" w:hint="eastAsia"/>
          <w:b/>
          <w:bCs/>
          <w:sz w:val="28"/>
          <w:szCs w:val="28"/>
        </w:rPr>
        <w:t>】</w:t>
      </w:r>
    </w:p>
    <w:p>
      <w:pPr>
        <w:pStyle w:val="style94"/>
        <w:adjustRightInd w:val="false"/>
        <w:snapToGrid w:val="false"/>
        <w:spacing w:before="50" w:beforeAutospacing="false" w:after="50" w:afterAutospacing="false" w:lineRule="auto" w:line="276"/>
        <w:rPr>
          <w:rStyle w:val="style4097"/>
          <w:rFonts w:ascii="微软雅黑" w:eastAsia="微软雅黑" w:hAnsi="微软雅黑"/>
          <w:b/>
          <w:color w:val="auto"/>
          <w:sz w:val="24"/>
          <w:szCs w:val="24"/>
          <w:shd w:val="pct10" w:color="auto" w:fill="ffffff"/>
        </w:rPr>
      </w:pPr>
      <w:r>
        <w:rPr>
          <w:rStyle w:val="style4097"/>
          <w:rFonts w:ascii="微软雅黑" w:eastAsia="微软雅黑" w:hAnsi="微软雅黑" w:hint="eastAsia"/>
          <w:b/>
          <w:color w:val="auto"/>
          <w:sz w:val="24"/>
          <w:szCs w:val="24"/>
          <w:shd w:val="pct10" w:color="auto" w:fill="ffffff"/>
        </w:rPr>
        <w:t>第一部分、前期调研（电话沟通确定解决的课题）：</w:t>
      </w:r>
    </w:p>
    <w:p>
      <w:pPr>
        <w:pStyle w:val="style94"/>
        <w:adjustRightInd w:val="false"/>
        <w:snapToGrid w:val="false"/>
        <w:spacing w:beforeAutospacing="false" w:afterAutospacing="false" w:lineRule="auto" w:line="276"/>
        <w:ind w:left="789" w:leftChars="203" w:hanging="363" w:hangingChars="15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课前调研：</w:t>
      </w:r>
      <w:r>
        <w:rPr>
          <w:rFonts w:ascii="微软雅黑" w:eastAsia="微软雅黑" w:hAnsi="微软雅黑" w:hint="eastAsia"/>
        </w:rPr>
        <w:t xml:space="preserve">   1.确认本次组织者组织此次行动学习课程的目标、评估指标和周期及其他的要求</w:t>
      </w:r>
    </w:p>
    <w:p>
      <w:pPr>
        <w:pStyle w:val="style94"/>
        <w:adjustRightInd w:val="false"/>
        <w:snapToGrid w:val="false"/>
        <w:spacing w:beforeAutospacing="false" w:afterAutospacing="false" w:lineRule="auto" w:line="276"/>
        <w:ind w:left="905" w:leftChars="431" w:firstLine="1080" w:firstLineChars="45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2.了解部分学员的能力水平和工作中可能遇到的困难和期待的成果</w:t>
      </w:r>
    </w:p>
    <w:p>
      <w:pPr>
        <w:pStyle w:val="style94"/>
        <w:adjustRightInd w:val="false"/>
        <w:snapToGrid w:val="false"/>
        <w:spacing w:before="50" w:beforeAutospacing="false" w:after="50" w:afterAutospacing="false" w:lineRule="auto" w:line="276"/>
        <w:rPr>
          <w:rStyle w:val="style4097"/>
          <w:rFonts w:ascii="微软雅黑" w:eastAsia="微软雅黑" w:hAnsi="微软雅黑"/>
          <w:b/>
          <w:color w:val="auto"/>
          <w:sz w:val="24"/>
          <w:szCs w:val="24"/>
          <w:shd w:val="pct10" w:color="auto" w:fill="ffffff"/>
        </w:rPr>
      </w:pPr>
      <w:r>
        <w:rPr>
          <w:rStyle w:val="style4097"/>
          <w:rFonts w:ascii="微软雅黑" w:eastAsia="微软雅黑" w:hAnsi="微软雅黑" w:hint="eastAsia"/>
          <w:b/>
          <w:color w:val="auto"/>
          <w:sz w:val="24"/>
          <w:szCs w:val="24"/>
          <w:shd w:val="pct10" w:color="auto" w:fill="ffffff"/>
        </w:rPr>
        <w:t>第二部分、课程启动（真实问题分享与呈现）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课程启动会（组织者阐述组织课程的意义和价值）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sz w:val="24"/>
        </w:rPr>
        <w:t>小组问题分享与目标期待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color w:val="000000"/>
          <w:sz w:val="24"/>
        </w:rPr>
        <w:t>1、掌握团队融合的技术和深入互相了解对方的方法</w:t>
      </w:r>
    </w:p>
    <w:p>
      <w:pPr>
        <w:pStyle w:val="style179"/>
        <w:numPr>
          <w:ilvl w:val="0"/>
          <w:numId w:val="3"/>
        </w:numPr>
        <w:adjustRightInd w:val="false"/>
        <w:snapToGrid w:val="false"/>
        <w:spacing w:lineRule="auto" w:line="276"/>
        <w:ind w:firstLine="3120" w:firstLineChars="1300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学会建立团队信任的方法工具</w:t>
      </w:r>
    </w:p>
    <w:p>
      <w:pPr>
        <w:pStyle w:val="style94"/>
        <w:adjustRightInd w:val="false"/>
        <w:snapToGrid w:val="false"/>
        <w:spacing w:before="50" w:beforeAutospacing="false" w:after="50" w:afterAutospacing="false" w:lineRule="auto" w:line="276"/>
        <w:rPr>
          <w:rStyle w:val="style4097"/>
          <w:rFonts w:ascii="微软雅黑" w:eastAsia="微软雅黑" w:hAnsi="微软雅黑"/>
          <w:b/>
          <w:color w:val="0070c0"/>
          <w:sz w:val="24"/>
          <w:szCs w:val="24"/>
          <w:shd w:val="pct10" w:color="auto" w:fill="ffffff"/>
        </w:rPr>
      </w:pPr>
      <w:r>
        <w:rPr>
          <w:rStyle w:val="style4097"/>
          <w:rFonts w:ascii="微软雅黑" w:eastAsia="微软雅黑" w:hAnsi="微软雅黑"/>
          <w:b/>
          <w:color w:val="auto"/>
          <w:sz w:val="24"/>
          <w:szCs w:val="24"/>
          <w:shd w:val="pct10" w:color="auto" w:fill="ffffff"/>
        </w:rPr>
        <w:t>第三部分</w:t>
      </w:r>
      <w:r>
        <w:rPr>
          <w:rStyle w:val="style4097"/>
          <w:rFonts w:ascii="微软雅黑" w:eastAsia="微软雅黑" w:hAnsi="微软雅黑" w:hint="eastAsia"/>
          <w:b/>
          <w:color w:val="auto"/>
          <w:sz w:val="24"/>
          <w:szCs w:val="24"/>
          <w:shd w:val="pct10" w:color="auto" w:fill="ffffff"/>
        </w:rPr>
        <w:t>：行动学习的基础知识</w:t>
      </w:r>
    </w:p>
    <w:p>
      <w:pPr>
        <w:pStyle w:val="style94"/>
        <w:adjustRightInd w:val="false"/>
        <w:snapToGrid w:val="false"/>
        <w:spacing w:beforeAutospacing="false" w:afterAutospacing="false" w:lineRule="auto" w:line="276"/>
        <w:ind w:left="790" w:leftChars="203" w:hanging="364" w:hangingChars="151"/>
        <w:rPr>
          <w:rFonts w:ascii="微软雅黑" w:eastAsia="微软雅黑" w:hAnsi="微软雅黑" w:hint="eastAsia"/>
          <w:bCs/>
        </w:rPr>
      </w:pPr>
      <w:r>
        <w:rPr>
          <w:rFonts w:hint="eastAsia"/>
          <w:b/>
          <w:bCs/>
        </w:rPr>
        <w:t xml:space="preserve"> </w:t>
      </w:r>
      <w:r>
        <w:rPr>
          <w:rFonts w:ascii="微软雅黑" w:eastAsia="微软雅黑" w:hAnsi="微软雅黑" w:hint="eastAsia"/>
          <w:b/>
          <w:bCs/>
        </w:rPr>
        <w:t>基础知识 ：</w:t>
      </w:r>
      <w:r>
        <w:rPr>
          <w:rFonts w:ascii="微软雅黑" w:eastAsia="微软雅黑" w:hAnsi="微软雅黑" w:hint="eastAsia"/>
          <w:bCs/>
        </w:rPr>
        <w:t xml:space="preserve"> 1、</w:t>
      </w:r>
      <w:r>
        <w:rPr>
          <w:rFonts w:ascii="微软雅黑" w:eastAsia="微软雅黑" w:hAnsi="微软雅黑"/>
          <w:bCs/>
        </w:rPr>
        <w:t>什么是行动学习？</w:t>
      </w:r>
      <w:r>
        <w:rPr>
          <w:rFonts w:ascii="微软雅黑" w:eastAsia="微软雅黑" w:hAnsi="微软雅黑" w:hint="eastAsia"/>
          <w:bCs/>
        </w:rPr>
        <w:t xml:space="preserve">以及常用技术 </w:t>
      </w:r>
    </w:p>
    <w:p>
      <w:pPr>
        <w:pStyle w:val="style94"/>
        <w:adjustRightInd w:val="false"/>
        <w:snapToGrid w:val="false"/>
        <w:spacing w:beforeAutospacing="false" w:afterAutospacing="false" w:lineRule="auto" w:line="276"/>
        <w:ind w:left="905" w:leftChars="431" w:firstLine="1080" w:firstLineChars="45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>
        <w:rPr>
          <w:rFonts w:ascii="微软雅黑" w:eastAsia="微软雅黑" w:hAnsi="微软雅黑"/>
          <w:bCs/>
        </w:rPr>
        <w:t>行动学习的</w:t>
      </w:r>
      <w:r>
        <w:rPr>
          <w:rFonts w:ascii="微软雅黑" w:eastAsia="微软雅黑" w:hAnsi="微软雅黑" w:hint="eastAsia"/>
          <w:bCs/>
        </w:rPr>
        <w:t>核心</w:t>
      </w:r>
      <w:r>
        <w:rPr>
          <w:rFonts w:ascii="微软雅黑" w:eastAsia="微软雅黑" w:hAnsi="微软雅黑"/>
          <w:bCs/>
        </w:rPr>
        <w:t>六要素</w:t>
      </w:r>
    </w:p>
    <w:p>
      <w:pPr>
        <w:pStyle w:val="style94"/>
        <w:adjustRightInd w:val="false"/>
        <w:snapToGrid w:val="false"/>
        <w:spacing w:beforeAutospacing="false" w:afterAutospacing="false" w:lineRule="auto" w:line="276"/>
        <w:ind w:firstLine="1920" w:firstLineChars="80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3</w:t>
      </w:r>
      <w:r>
        <w:rPr>
          <w:rFonts w:ascii="微软雅黑" w:eastAsia="微软雅黑" w:hAnsi="微软雅黑" w:hint="eastAsia"/>
          <w:bCs/>
        </w:rPr>
        <w:t>、行动学习解决课题的原则和要求</w:t>
      </w:r>
    </w:p>
    <w:p>
      <w:pPr>
        <w:pStyle w:val="style179"/>
        <w:adjustRightInd w:val="false"/>
        <w:snapToGrid w:val="false"/>
        <w:spacing w:lineRule="auto" w:line="276"/>
        <w:ind w:firstLine="0" w:firstLineChars="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Style w:val="style4097"/>
          <w:rFonts w:ascii="微软雅黑" w:eastAsia="微软雅黑" w:hAnsi="微软雅黑" w:hint="eastAsia"/>
          <w:b/>
          <w:color w:val="auto"/>
          <w:sz w:val="24"/>
          <w:szCs w:val="24"/>
          <w:shd w:val="pct10" w:color="auto" w:fill="ffffff"/>
        </w:rPr>
        <w:t>第四部分、行动学习工作坊流程安排（通过参与讨论、游戏、话剧表演等方式解决真实问题）</w:t>
      </w:r>
    </w:p>
    <w:p>
      <w:pPr>
        <w:pStyle w:val="style179"/>
        <w:adjustRightInd w:val="false"/>
        <w:snapToGrid w:val="false"/>
        <w:spacing w:lineRule="auto" w:line="276"/>
        <w:ind w:left="569" w:leftChars="271" w:firstLine="720" w:firstLineChars="30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群策群力工作坊第一步: 澄清目前需要解决的核心课题和共识目标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问题澄清（利用工具“五个为什么”以及“鱼骨图”）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共识目标：想象一下，如果课题解决了，我们会看到什么景象？      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愿景描绘（各小组团队协作，用彩笔共同绘制一副画）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sz w:val="24"/>
        </w:rPr>
        <w:t>1、掌握问题重构的步骤和有效提问的技术，认识本质问题；</w:t>
      </w:r>
    </w:p>
    <w:p>
      <w:pPr>
        <w:pStyle w:val="style179"/>
        <w:adjustRightInd w:val="false"/>
        <w:snapToGrid w:val="false"/>
        <w:spacing w:lineRule="auto" w:line="276"/>
        <w:ind w:firstLine="0"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                          2、实现“三梦合一”</w:t>
      </w:r>
    </w:p>
    <w:p>
      <w:pPr>
        <w:pStyle w:val="style179"/>
        <w:adjustRightInd w:val="false"/>
        <w:snapToGrid w:val="false"/>
        <w:spacing w:lineRule="auto" w:line="276"/>
        <w:ind w:firstLine="1201" w:firstLineChars="50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群策群力工作坊第二步: 现状分析（头脑风暴）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通过提问风暴，SWOT分析，全面认识组织目前现象背后的问题，-系统思考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启发与引导大家共同关注的“核心课题”创新因素有哪些？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color w:val="000000"/>
          <w:sz w:val="24"/>
        </w:rPr>
        <w:t>掌握群体思考和分析问题的工具（纵向和横向深入全面分析问题）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群策群力工作坊第三步: 激发与赋能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解决本小组问题的过程中会遇到挑战，我们做好了准备吗？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既有对未来愿景的憧憬，又有理性的SWOT分析，我们需要做出选择：我们要实现这个目标吗？</w:t>
      </w:r>
      <w:r>
        <w:rPr>
          <w:rFonts w:ascii="微软雅黑" w:eastAsia="微软雅黑" w:hAnsi="微软雅黑"/>
          <w:sz w:val="24"/>
        </w:rPr>
        <w:t xml:space="preserve"> 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如果是，请每个人做出自己的承诺（娱乐性与惩罚性兼具）。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sz w:val="24"/>
        </w:rPr>
        <w:t>唤醒大家对待本小组课题的认真和决心，点燃学员能量。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群策群力工作坊第四步: “策略共创（关键行动的策略模型）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团队共创-为了更好的解决本小组课题，实现我们的共同愿景，解决本小组课题的策略和方法有哪些？-流程化科学化的头脑风暴法；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团队共创操作步骤：写策略 — 分享归类 — 提取中心词 — 梳理策略关系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团队决策：按照收益的大小和执行难易程度两个维度，决定未来策略步骤；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sz w:val="24"/>
        </w:rPr>
        <w:t>1、本小组课题解决；2、掌握团队共创法思维、流程、工具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群策群力工作坊第五步: 行动计划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基于关键行动的策略模型，制定我们课题解决的行动计划，建立本课题的PDCA循环。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“主动承担计划”行动-学员可以主动要求成为某行动学习小组的组织，自动自发执行行动计划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每个小组根据“做我所写、写我所做”的计划模板制定相应的</w:t>
      </w:r>
      <w:r>
        <w:rPr>
          <w:rFonts w:ascii="微软雅黑" w:eastAsia="微软雅黑" w:hAnsi="微软雅黑"/>
          <w:sz w:val="24"/>
        </w:rPr>
        <w:t>行动方案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color w:val="000000"/>
          <w:sz w:val="24"/>
        </w:rPr>
        <w:t>1、每小组行动计划得到落实2、掌握行动计划制定筛选的工具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b/>
          <w:sz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 w:val="24"/>
          <w:shd w:val="pct10" w:color="auto" w:fill="ffffff"/>
        </w:rPr>
        <w:t>群策群力工作坊第六步： “城镇会议”（行动计划陈述及PK环节）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各部门汇报本小组课题解决的行动计划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行动学习专家和其他小组质疑、提问（向下问WHAT ，向上问WHY）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完善行动策略和计划（选出十大优质想法，投票和建议）</w:t>
      </w:r>
    </w:p>
    <w:p>
      <w:pPr>
        <w:pStyle w:val="style179"/>
        <w:numPr>
          <w:ilvl w:val="0"/>
          <w:numId w:val="2"/>
        </w:numPr>
        <w:adjustRightInd w:val="false"/>
        <w:snapToGrid w:val="false"/>
        <w:spacing w:lineRule="auto" w:line="276"/>
        <w:ind w:firstLine="480"/>
        <w:jc w:val="left"/>
        <w:rPr>
          <w:rFonts w:ascii="微软雅黑" w:eastAsia="微软雅黑" w:hAnsi="微软雅黑"/>
          <w:b/>
          <w:bCs/>
          <w:sz w:val="24"/>
        </w:rPr>
      </w:pPr>
      <w:r>
        <w:rPr>
          <w:rFonts w:ascii="微软雅黑" w:eastAsia="微软雅黑" w:hAnsi="微软雅黑" w:hint="eastAsia"/>
          <w:b/>
          <w:bCs/>
          <w:color w:val="c00000"/>
          <w:sz w:val="24"/>
        </w:rPr>
        <w:t>此环节收益：</w:t>
      </w:r>
      <w:r>
        <w:rPr>
          <w:rFonts w:ascii="微软雅黑" w:eastAsia="微软雅黑" w:hAnsi="微软雅黑" w:hint="eastAsia"/>
          <w:sz w:val="24"/>
        </w:rPr>
        <w:t xml:space="preserve">1、从不同的角度和角色评估行动计划的可执行性，完善行动 </w:t>
      </w:r>
    </w:p>
    <w:p>
      <w:pPr>
        <w:pStyle w:val="style179"/>
        <w:adjustRightInd w:val="false"/>
        <w:snapToGrid w:val="false"/>
        <w:spacing w:lineRule="auto" w:line="276"/>
        <w:ind w:firstLine="3120" w:firstLineChars="1300"/>
        <w:jc w:val="left"/>
        <w:rPr>
          <w:rFonts w:ascii="微软雅黑" w:eastAsia="微软雅黑" w:hAnsi="微软雅黑"/>
          <w:b/>
          <w:bCs/>
          <w:sz w:val="24"/>
        </w:rPr>
      </w:pPr>
      <w:r>
        <w:rPr>
          <w:rFonts w:ascii="微软雅黑" w:eastAsia="微软雅黑" w:hAnsi="微软雅黑" w:hint="eastAsia"/>
          <w:sz w:val="24"/>
        </w:rPr>
        <w:t>2、掌握评估行动策略和计划可执行性的工具和方法</w:t>
      </w:r>
    </w:p>
    <w:p>
      <w:pPr>
        <w:pStyle w:val="style179"/>
        <w:adjustRightInd w:val="false"/>
        <w:snapToGrid w:val="false"/>
        <w:spacing w:lineRule="auto" w:line="276"/>
        <w:ind w:left="1200" w:firstLine="0" w:firstLineChars="0"/>
        <w:jc w:val="left"/>
        <w:rPr>
          <w:rFonts w:ascii="微软雅黑" w:eastAsia="微软雅黑" w:hAnsi="微软雅黑"/>
          <w:sz w:val="24"/>
        </w:rPr>
      </w:pPr>
    </w:p>
    <w:p>
      <w:pPr>
        <w:pStyle w:val="style0"/>
        <w:rPr>
          <w:rFonts w:ascii="微软雅黑" w:cs="微软雅黑" w:eastAsia="微软雅黑" w:hAnsi="微软雅黑"/>
          <w:szCs w:val="21"/>
        </w:rPr>
      </w:pPr>
    </w:p>
    <w:sectPr>
      <w:pgSz w:w="11906" w:h="16838" w:orient="portrait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Verdana">
    <w:altName w:val="Verdana"/>
    <w:panose1 w:val="020b0604030005040204"/>
    <w:charset w:val="00"/>
    <w:family w:val="swiss"/>
    <w:pitch w:val="default"/>
    <w:sig w:usb0="A00006FF" w:usb1="4000205B" w:usb2="00000010" w:usb3="00000000" w:csb0="2000019F" w:csb1="0000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DFA7D3C6"/>
    <w:lvl w:ilvl="0">
      <w:start w:val="1"/>
      <w:numFmt w:val="chineseCounting"/>
      <w:suff w:val="nothing"/>
      <w:lvlText w:val="%1、"/>
      <w:lvlJc w:val="left"/>
      <w:pPr/>
      <w:rPr>
        <w:rFonts w:hint="eastAsia"/>
      </w:rPr>
    </w:lvl>
  </w:abstractNum>
  <w:abstractNum w:abstractNumId="1">
    <w:nsid w:val="00000001"/>
    <w:multiLevelType w:val="singleLevel"/>
    <w:tmpl w:val="1B530F49"/>
    <w:lvl w:ilvl="0">
      <w:start w:val="2"/>
      <w:numFmt w:val="decimal"/>
      <w:suff w:val="nothing"/>
      <w:lvlText w:val="%1、"/>
      <w:lvlJc w:val="left"/>
      <w:pPr/>
    </w:lvl>
  </w:abstractNum>
  <w:abstractNum w:abstractNumId="2">
    <w:nsid w:val="00000002"/>
    <w:multiLevelType w:val="multilevel"/>
    <w:tmpl w:val="3E547099"/>
    <w:lvl w:ilvl="0">
      <w:start w:val="1"/>
      <w:numFmt w:val="bullet"/>
      <w:lvlText w:val="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keepNext/>
      <w:keepLines/>
      <w:spacing w:before="340" w:after="330" w:lineRule="auto" w:line="578"/>
      <w:outlineLvl w:val="0"/>
    </w:pPr>
    <w:rPr>
      <w:b/>
      <w:bCs/>
      <w:kern w:val="44"/>
      <w:sz w:val="44"/>
      <w:szCs w:val="4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0"/>
    <w:pPr>
      <w:spacing w:beforeAutospacing="true" w:afterAutospacing="true"/>
      <w:jc w:val="left"/>
    </w:pPr>
    <w:rPr>
      <w:rFonts w:cs="Times New Roman"/>
      <w:kern w:val="0"/>
      <w:sz w:val="24"/>
    </w:rPr>
  </w:style>
  <w:style w:type="character" w:customStyle="1" w:styleId="style4097">
    <w:name w:val="nr121"/>
    <w:next w:val="style4097"/>
    <w:qFormat/>
    <w:uiPriority w:val="0"/>
    <w:rPr>
      <w:rFonts w:ascii="Verdana" w:hAnsi="Verdana" w:hint="default"/>
      <w:color w:val="4d4d4d"/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10" Type="http://schemas.openxmlformats.org/officeDocument/2006/relationships/customXml" Target="../customXml/item1.xml"/><Relationship Id="rId9" Type="http://schemas.openxmlformats.org/officeDocument/2006/relationships/theme" Target="theme/theme1.xml"/><Relationship Id="rId5" Type="http://schemas.openxmlformats.org/officeDocument/2006/relationships/image" Target="media/image4.pn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Words>1761</Words>
  <Pages>4</Pages>
  <Characters>1812</Characters>
  <Application>WPS Office</Application>
  <DocSecurity>0</DocSecurity>
  <Paragraphs>72</Paragraphs>
  <ScaleCrop>false</ScaleCrop>
  <LinksUpToDate>false</LinksUpToDate>
  <CharactersWithSpaces>1927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薛魁铭</dc:creator>
  <lastModifiedBy>ELS-AN10</lastModifiedBy>
  <dcterms:modified xsi:type="dcterms:W3CDTF">2023-05-15T13:21:49Z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965F806A463942F6BBC11C1EFD1DCB95</vt:lpwstr>
  </property>
</Properties>
</file>