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uto"/>
        <w:jc w:val="center"/>
        <w:rPr>
          <w:rFonts w:ascii="微软雅黑" w:hAnsi="微软雅黑" w:eastAsia="微软雅黑"/>
          <w:sz w:val="28"/>
          <w:szCs w:val="32"/>
        </w:rPr>
      </w:pPr>
      <w:r>
        <w:rPr>
          <w:rFonts w:hint="eastAsia" w:ascii="微软雅黑" w:hAnsi="微软雅黑" w:eastAsia="微软雅黑"/>
          <w:sz w:val="32"/>
          <w:szCs w:val="36"/>
        </w:rPr>
        <w:t>群诉处理及舆情危机应对</w:t>
      </w:r>
    </w:p>
    <w:p>
      <w:pPr>
        <w:adjustRightInd w:val="0"/>
        <w:snapToGrid w:val="0"/>
        <w:spacing w:line="300" w:lineRule="auto"/>
        <w:jc w:val="center"/>
        <w:rPr>
          <w:rFonts w:hint="eastAsia" w:ascii="微软雅黑" w:hAnsi="微软雅黑" w:eastAsia="微软雅黑"/>
          <w:sz w:val="21"/>
          <w:szCs w:val="22"/>
          <w:lang w:val="en-US" w:eastAsia="zh-CN"/>
        </w:rPr>
      </w:pPr>
      <w:r>
        <w:rPr>
          <w:rFonts w:hint="eastAsia" w:ascii="微软雅黑" w:hAnsi="微软雅黑" w:eastAsia="微软雅黑"/>
          <w:sz w:val="21"/>
          <w:szCs w:val="22"/>
          <w:lang w:eastAsia="zh-CN"/>
        </w:rPr>
        <w:t>（</w:t>
      </w:r>
      <w:r>
        <w:rPr>
          <w:rFonts w:hint="eastAsia" w:ascii="微软雅黑" w:hAnsi="微软雅黑" w:eastAsia="微软雅黑"/>
          <w:sz w:val="21"/>
          <w:szCs w:val="22"/>
        </w:rPr>
        <w:t>投诉</w:t>
      </w:r>
      <w:r>
        <w:rPr>
          <w:rFonts w:hint="eastAsia" w:ascii="微软雅黑" w:hAnsi="微软雅黑" w:eastAsia="微软雅黑"/>
          <w:sz w:val="21"/>
          <w:szCs w:val="22"/>
          <w:lang w:val="en-US" w:eastAsia="zh-CN"/>
        </w:rPr>
        <w:t>处置</w:t>
      </w:r>
      <w:r>
        <w:rPr>
          <w:rFonts w:hint="eastAsia" w:ascii="微软雅黑" w:hAnsi="微软雅黑" w:eastAsia="微软雅黑"/>
          <w:sz w:val="21"/>
          <w:szCs w:val="22"/>
        </w:rPr>
        <w:t>应对与</w:t>
      </w:r>
      <w:r>
        <w:rPr>
          <w:rFonts w:hint="eastAsia" w:ascii="微软雅黑" w:hAnsi="微软雅黑" w:eastAsia="微软雅黑"/>
          <w:sz w:val="21"/>
          <w:szCs w:val="22"/>
          <w:lang w:val="en-US" w:eastAsia="zh-CN"/>
        </w:rPr>
        <w:t>投诉</w:t>
      </w:r>
      <w:r>
        <w:rPr>
          <w:rFonts w:hint="eastAsia" w:ascii="微软雅黑" w:hAnsi="微软雅黑" w:eastAsia="微软雅黑"/>
          <w:sz w:val="21"/>
          <w:szCs w:val="22"/>
        </w:rPr>
        <w:t>管理三</w:t>
      </w:r>
      <w:r>
        <w:rPr>
          <w:rFonts w:hint="eastAsia" w:ascii="微软雅黑" w:hAnsi="微软雅黑" w:eastAsia="微软雅黑"/>
          <w:sz w:val="21"/>
          <w:szCs w:val="22"/>
          <w:lang w:val="en-US" w:eastAsia="zh-CN"/>
        </w:rPr>
        <w:t>部</w:t>
      </w:r>
      <w:r>
        <w:rPr>
          <w:rFonts w:hint="eastAsia" w:ascii="微软雅黑" w:hAnsi="微软雅黑" w:eastAsia="微软雅黑"/>
          <w:sz w:val="21"/>
          <w:szCs w:val="22"/>
        </w:rPr>
        <w:t>曲</w:t>
      </w:r>
      <w:r>
        <w:rPr>
          <w:rFonts w:hint="eastAsia" w:ascii="微软雅黑" w:hAnsi="微软雅黑" w:eastAsia="微软雅黑"/>
          <w:sz w:val="21"/>
          <w:szCs w:val="22"/>
          <w:lang w:val="en-US" w:eastAsia="zh-CN"/>
        </w:rPr>
        <w:t>之三）</w:t>
      </w:r>
    </w:p>
    <w:p>
      <w:pPr>
        <w:adjustRightInd w:val="0"/>
        <w:snapToGrid w:val="0"/>
        <w:spacing w:line="300" w:lineRule="auto"/>
        <w:rPr>
          <w:rFonts w:ascii="微软雅黑" w:hAnsi="微软雅黑" w:eastAsia="微软雅黑"/>
        </w:rPr>
      </w:pPr>
    </w:p>
    <w:p>
      <w:pPr>
        <w:pStyle w:val="6"/>
        <w:numPr>
          <w:ilvl w:val="0"/>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课程背景</w:t>
      </w:r>
    </w:p>
    <w:p>
      <w:pPr>
        <w:adjustRightInd w:val="0"/>
        <w:snapToGrid w:val="0"/>
        <w:spacing w:line="300" w:lineRule="auto"/>
        <w:ind w:firstLine="420" w:firstLineChars="200"/>
        <w:rPr>
          <w:rFonts w:hint="default" w:ascii="微软雅黑" w:hAnsi="微软雅黑" w:eastAsia="微软雅黑"/>
          <w:lang w:val="en-US" w:eastAsia="zh-CN"/>
        </w:rPr>
      </w:pPr>
      <w:r>
        <w:rPr>
          <w:rFonts w:hint="eastAsia" w:ascii="微软雅黑" w:hAnsi="微软雅黑" w:eastAsia="微软雅黑"/>
        </w:rPr>
        <w:t>服务行业中，妥善处理客户投诉，提升客户满意，是员工干部的必修课。随着客户需求不断变化，标准不断提高，常规</w:t>
      </w:r>
      <w:r>
        <w:rPr>
          <w:rFonts w:hint="eastAsia" w:ascii="微软雅黑" w:hAnsi="微软雅黑" w:eastAsia="微软雅黑"/>
          <w:lang w:val="en-US" w:eastAsia="zh-CN"/>
        </w:rPr>
        <w:t>服务</w:t>
      </w:r>
      <w:r>
        <w:rPr>
          <w:rFonts w:hint="eastAsia" w:ascii="微软雅黑" w:hAnsi="微软雅黑" w:eastAsia="微软雅黑"/>
        </w:rPr>
        <w:t>礼仪、泛泛</w:t>
      </w:r>
      <w:r>
        <w:rPr>
          <w:rFonts w:hint="eastAsia" w:ascii="微软雅黑" w:hAnsi="微软雅黑" w:eastAsia="微软雅黑"/>
          <w:lang w:val="en-US" w:eastAsia="zh-CN"/>
        </w:rPr>
        <w:t>的</w:t>
      </w:r>
      <w:r>
        <w:rPr>
          <w:rFonts w:hint="eastAsia" w:ascii="微软雅黑" w:hAnsi="微软雅黑" w:eastAsia="微软雅黑"/>
        </w:rPr>
        <w:t>投诉处理流程已不能适应企业的</w:t>
      </w:r>
      <w:r>
        <w:rPr>
          <w:rFonts w:hint="eastAsia" w:ascii="微软雅黑" w:hAnsi="微软雅黑" w:eastAsia="微软雅黑"/>
          <w:lang w:val="en-US" w:eastAsia="zh-CN"/>
        </w:rPr>
        <w:t>客服</w:t>
      </w:r>
      <w:r>
        <w:rPr>
          <w:rFonts w:hint="eastAsia" w:ascii="微软雅黑" w:hAnsi="微软雅黑" w:eastAsia="微软雅黑"/>
        </w:rPr>
        <w:t>需求，难以</w:t>
      </w:r>
      <w:r>
        <w:rPr>
          <w:rFonts w:hint="eastAsia" w:ascii="微软雅黑" w:hAnsi="微软雅黑" w:eastAsia="微软雅黑"/>
          <w:lang w:val="en-US" w:eastAsia="zh-CN"/>
        </w:rPr>
        <w:t>获得</w:t>
      </w:r>
      <w:r>
        <w:rPr>
          <w:rFonts w:hint="eastAsia" w:ascii="微软雅黑" w:hAnsi="微软雅黑" w:eastAsia="微软雅黑"/>
        </w:rPr>
        <w:t>满意效果。</w:t>
      </w:r>
      <w:r>
        <w:rPr>
          <w:rFonts w:hint="eastAsia" w:ascii="微软雅黑" w:hAnsi="微软雅黑" w:eastAsia="微软雅黑"/>
          <w:lang w:val="en-US" w:eastAsia="zh-CN"/>
        </w:rPr>
        <w:t>因此，</w:t>
      </w:r>
      <w:r>
        <w:rPr>
          <w:rFonts w:hint="eastAsia" w:ascii="微软雅黑" w:hAnsi="微软雅黑" w:eastAsia="微软雅黑"/>
        </w:rPr>
        <w:t>，企业的训练需要转变观念思路，</w:t>
      </w:r>
      <w:r>
        <w:rPr>
          <w:rFonts w:hint="eastAsia" w:ascii="微软雅黑" w:hAnsi="微软雅黑" w:eastAsia="微软雅黑"/>
          <w:lang w:val="en-US" w:eastAsia="zh-CN"/>
        </w:rPr>
        <w:t>从</w:t>
      </w:r>
      <w:r>
        <w:rPr>
          <w:rFonts w:hint="eastAsia" w:ascii="微软雅黑" w:hAnsi="微软雅黑" w:eastAsia="微软雅黑"/>
        </w:rPr>
        <w:t>投诉的</w:t>
      </w:r>
      <w:r>
        <w:rPr>
          <w:rFonts w:hint="eastAsia" w:ascii="微软雅黑" w:hAnsi="微软雅黑" w:eastAsia="微软雅黑"/>
          <w:lang w:val="en-US" w:eastAsia="zh-CN"/>
        </w:rPr>
        <w:t>应对</w:t>
      </w:r>
      <w:r>
        <w:rPr>
          <w:rFonts w:hint="eastAsia" w:ascii="微软雅黑" w:hAnsi="微软雅黑" w:eastAsia="微软雅黑"/>
        </w:rPr>
        <w:t>原理</w:t>
      </w:r>
      <w:r>
        <w:rPr>
          <w:rFonts w:hint="eastAsia" w:ascii="微软雅黑" w:hAnsi="微软雅黑" w:eastAsia="微软雅黑"/>
          <w:lang w:val="en-US" w:eastAsia="zh-CN"/>
        </w:rPr>
        <w:t>入手</w:t>
      </w:r>
      <w:r>
        <w:rPr>
          <w:rFonts w:hint="eastAsia" w:ascii="微软雅黑" w:hAnsi="微软雅黑" w:eastAsia="微软雅黑"/>
        </w:rPr>
        <w:t>，</w:t>
      </w:r>
      <w:r>
        <w:rPr>
          <w:rFonts w:hint="eastAsia" w:ascii="微软雅黑" w:hAnsi="微软雅黑" w:eastAsia="微软雅黑"/>
          <w:lang w:val="en-US" w:eastAsia="zh-CN"/>
        </w:rPr>
        <w:t>掌握</w:t>
      </w:r>
      <w:r>
        <w:rPr>
          <w:rFonts w:hint="eastAsia" w:ascii="微软雅黑" w:hAnsi="微软雅黑" w:eastAsia="微软雅黑"/>
        </w:rPr>
        <w:t>投诉管理的系统化方法论</w:t>
      </w:r>
      <w:r>
        <w:rPr>
          <w:rFonts w:hint="eastAsia" w:ascii="微软雅黑" w:hAnsi="微软雅黑" w:eastAsia="微软雅黑"/>
          <w:lang w:val="en-US" w:eastAsia="zh-CN"/>
        </w:rPr>
        <w:t>+技巧</w:t>
      </w:r>
      <w:r>
        <w:rPr>
          <w:rFonts w:hint="eastAsia" w:ascii="微软雅黑" w:hAnsi="微软雅黑" w:eastAsia="微软雅黑"/>
        </w:rPr>
        <w:t>，才能真正提升实效！</w:t>
      </w:r>
      <w:r>
        <w:rPr>
          <w:rFonts w:hint="eastAsia" w:ascii="微软雅黑" w:hAnsi="微软雅黑" w:eastAsia="微软雅黑"/>
          <w:lang w:val="en-US" w:eastAsia="zh-CN"/>
        </w:rPr>
        <w:t>而且能够持续传承改善！</w:t>
      </w:r>
    </w:p>
    <w:p>
      <w:pPr>
        <w:pStyle w:val="6"/>
        <w:adjustRightInd w:val="0"/>
        <w:snapToGrid w:val="0"/>
        <w:spacing w:line="300" w:lineRule="auto"/>
        <w:ind w:left="420" w:firstLine="0" w:firstLineChars="0"/>
        <w:rPr>
          <w:rFonts w:ascii="微软雅黑" w:hAnsi="微软雅黑" w:eastAsia="微软雅黑"/>
        </w:rPr>
      </w:pPr>
    </w:p>
    <w:p>
      <w:pPr>
        <w:pStyle w:val="6"/>
        <w:numPr>
          <w:ilvl w:val="0"/>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课程目的</w:t>
      </w:r>
    </w:p>
    <w:p>
      <w:pPr>
        <w:pStyle w:val="6"/>
        <w:adjustRightInd w:val="0"/>
        <w:snapToGrid w:val="0"/>
        <w:spacing w:line="300" w:lineRule="auto"/>
        <w:ind w:left="420" w:firstLine="0" w:firstLineChars="0"/>
        <w:rPr>
          <w:rFonts w:ascii="微软雅黑" w:hAnsi="微软雅黑" w:eastAsia="微软雅黑"/>
        </w:rPr>
      </w:pPr>
      <w:r>
        <w:rPr>
          <w:rFonts w:hint="eastAsia" w:ascii="微软雅黑" w:hAnsi="微软雅黑" w:eastAsia="微软雅黑"/>
        </w:rPr>
        <w:t>阐释处理投诉、管理投诉、提升客户满意的根本原理和科学策略指针；</w:t>
      </w:r>
    </w:p>
    <w:p>
      <w:pPr>
        <w:pStyle w:val="6"/>
        <w:adjustRightInd w:val="0"/>
        <w:snapToGrid w:val="0"/>
        <w:spacing w:line="300" w:lineRule="auto"/>
        <w:ind w:left="420" w:firstLine="0" w:firstLineChars="0"/>
        <w:rPr>
          <w:rFonts w:ascii="微软雅黑" w:hAnsi="微软雅黑" w:eastAsia="微软雅黑"/>
        </w:rPr>
      </w:pPr>
      <w:r>
        <w:rPr>
          <w:rFonts w:hint="eastAsia" w:ascii="微软雅黑" w:hAnsi="微软雅黑" w:eastAsia="微软雅黑"/>
        </w:rPr>
        <w:t>应对严重群诉和舆情危机的实战方法</w:t>
      </w:r>
      <w:r>
        <w:rPr>
          <w:rFonts w:hint="eastAsia" w:ascii="微软雅黑" w:hAnsi="微软雅黑" w:eastAsia="微软雅黑"/>
          <w:lang w:eastAsia="zh-CN"/>
        </w:rPr>
        <w:t>，</w:t>
      </w:r>
      <w:r>
        <w:rPr>
          <w:rFonts w:hint="eastAsia" w:ascii="微软雅黑" w:hAnsi="微软雅黑" w:eastAsia="微软雅黑"/>
        </w:rPr>
        <w:t>课程中强化“训练”和“产出”，</w:t>
      </w:r>
      <w:r>
        <w:rPr>
          <w:rFonts w:hint="eastAsia" w:ascii="微软雅黑" w:hAnsi="微软雅黑" w:eastAsia="微软雅黑"/>
          <w:lang w:val="en-US" w:eastAsia="zh-CN"/>
        </w:rPr>
        <w:t>促进</w:t>
      </w:r>
      <w:r>
        <w:rPr>
          <w:rFonts w:hint="eastAsia" w:ascii="微软雅黑" w:hAnsi="微软雅黑" w:eastAsia="微软雅黑"/>
        </w:rPr>
        <w:t>干部的综合</w:t>
      </w:r>
      <w:r>
        <w:rPr>
          <w:rFonts w:hint="eastAsia" w:ascii="微软雅黑" w:hAnsi="微软雅黑" w:eastAsia="微软雅黑"/>
          <w:lang w:val="en-US" w:eastAsia="zh-CN"/>
        </w:rPr>
        <w:t>实战</w:t>
      </w:r>
      <w:r>
        <w:rPr>
          <w:rFonts w:hint="eastAsia" w:ascii="微软雅黑" w:hAnsi="微软雅黑" w:eastAsia="微软雅黑"/>
        </w:rPr>
        <w:t>能力提升，力求实现：以终为始、学而有得，学以致用、学而能传！</w:t>
      </w:r>
    </w:p>
    <w:p>
      <w:pPr>
        <w:pStyle w:val="6"/>
        <w:adjustRightInd w:val="0"/>
        <w:snapToGrid w:val="0"/>
        <w:spacing w:line="300" w:lineRule="auto"/>
        <w:ind w:left="420" w:firstLine="0" w:firstLineChars="0"/>
        <w:rPr>
          <w:rFonts w:ascii="微软雅黑" w:hAnsi="微软雅黑" w:eastAsia="微软雅黑"/>
        </w:rPr>
      </w:pPr>
    </w:p>
    <w:p>
      <w:pPr>
        <w:pStyle w:val="6"/>
        <w:numPr>
          <w:ilvl w:val="0"/>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课程对象</w:t>
      </w:r>
    </w:p>
    <w:p>
      <w:pPr>
        <w:pStyle w:val="6"/>
        <w:adjustRightInd w:val="0"/>
        <w:snapToGrid w:val="0"/>
        <w:spacing w:line="300" w:lineRule="auto"/>
        <w:ind w:left="420" w:firstLine="0" w:firstLineChars="0"/>
        <w:rPr>
          <w:rFonts w:ascii="微软雅黑" w:hAnsi="微软雅黑" w:eastAsia="微软雅黑"/>
        </w:rPr>
      </w:pPr>
      <w:r>
        <w:rPr>
          <w:rFonts w:hint="eastAsia" w:ascii="微软雅黑" w:hAnsi="微软雅黑" w:eastAsia="微软雅黑"/>
        </w:rPr>
        <w:t>从事客服与管理的骨干员工、干部</w:t>
      </w:r>
    </w:p>
    <w:p>
      <w:pPr>
        <w:pStyle w:val="6"/>
        <w:adjustRightInd w:val="0"/>
        <w:snapToGrid w:val="0"/>
        <w:spacing w:line="300" w:lineRule="auto"/>
        <w:ind w:left="420" w:firstLine="0" w:firstLineChars="0"/>
        <w:rPr>
          <w:rFonts w:ascii="微软雅黑" w:hAnsi="微软雅黑" w:eastAsia="微软雅黑"/>
        </w:rPr>
      </w:pPr>
      <w:r>
        <w:rPr>
          <w:rFonts w:hint="eastAsia" w:ascii="微软雅黑" w:hAnsi="微软雅黑" w:eastAsia="微软雅黑"/>
        </w:rPr>
        <w:t>客服管理、品管、公关、营销、宣传、风控系统的负责人</w:t>
      </w:r>
    </w:p>
    <w:p>
      <w:pPr>
        <w:pStyle w:val="6"/>
        <w:adjustRightInd w:val="0"/>
        <w:snapToGrid w:val="0"/>
        <w:spacing w:line="300" w:lineRule="auto"/>
        <w:ind w:left="420" w:firstLine="0" w:firstLineChars="0"/>
        <w:rPr>
          <w:rFonts w:ascii="微软雅黑" w:hAnsi="微软雅黑" w:eastAsia="微软雅黑"/>
        </w:rPr>
      </w:pPr>
    </w:p>
    <w:p>
      <w:pPr>
        <w:pStyle w:val="6"/>
        <w:numPr>
          <w:ilvl w:val="0"/>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课程时间</w:t>
      </w:r>
    </w:p>
    <w:p>
      <w:pPr>
        <w:pStyle w:val="6"/>
        <w:adjustRightInd w:val="0"/>
        <w:snapToGrid w:val="0"/>
        <w:spacing w:line="300" w:lineRule="auto"/>
        <w:ind w:left="420" w:firstLine="0" w:firstLineChars="0"/>
        <w:rPr>
          <w:rFonts w:ascii="微软雅黑" w:hAnsi="微软雅黑" w:eastAsia="微软雅黑"/>
          <w:b/>
          <w:bCs/>
        </w:rPr>
      </w:pPr>
      <w:r>
        <w:rPr>
          <w:rFonts w:hint="eastAsia" w:ascii="微软雅黑" w:hAnsi="微软雅黑" w:eastAsia="微软雅黑"/>
          <w:b/>
          <w:bCs/>
          <w:lang w:val="en-US" w:eastAsia="zh-CN"/>
        </w:rPr>
        <w:t>1</w:t>
      </w:r>
      <w:r>
        <w:rPr>
          <w:rFonts w:hint="eastAsia" w:ascii="微软雅黑" w:hAnsi="微软雅黑" w:eastAsia="微软雅黑"/>
          <w:b/>
          <w:bCs/>
        </w:rPr>
        <w:t>天</w:t>
      </w:r>
      <w:r>
        <w:rPr>
          <w:rFonts w:hint="eastAsia" w:ascii="微软雅黑" w:hAnsi="微软雅黑" w:eastAsia="微软雅黑"/>
          <w:b/>
          <w:bCs/>
          <w:lang w:val="en-US" w:eastAsia="zh-CN"/>
        </w:rPr>
        <w:t>7.5-9</w:t>
      </w:r>
      <w:r>
        <w:rPr>
          <w:rFonts w:hint="eastAsia" w:ascii="微软雅黑" w:hAnsi="微软雅黑" w:eastAsia="微软雅黑"/>
          <w:b/>
          <w:bCs/>
        </w:rPr>
        <w:t xml:space="preserve">小时 </w:t>
      </w:r>
      <w:r>
        <w:rPr>
          <w:rFonts w:ascii="微软雅黑" w:hAnsi="微软雅黑" w:eastAsia="微软雅黑"/>
          <w:b/>
          <w:bCs/>
        </w:rPr>
        <w:t xml:space="preserve">  </w:t>
      </w:r>
    </w:p>
    <w:p>
      <w:pPr>
        <w:pStyle w:val="6"/>
        <w:adjustRightInd w:val="0"/>
        <w:snapToGrid w:val="0"/>
        <w:spacing w:line="300" w:lineRule="auto"/>
        <w:ind w:left="420" w:firstLine="0" w:firstLineChars="0"/>
        <w:rPr>
          <w:rFonts w:ascii="微软雅黑" w:hAnsi="微软雅黑" w:eastAsia="微软雅黑"/>
        </w:rPr>
      </w:pPr>
    </w:p>
    <w:p>
      <w:pPr>
        <w:pStyle w:val="6"/>
        <w:numPr>
          <w:ilvl w:val="0"/>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课程重点与学员收益</w:t>
      </w:r>
    </w:p>
    <w:p>
      <w:pPr>
        <w:pStyle w:val="6"/>
        <w:adjustRightInd w:val="0"/>
        <w:snapToGrid w:val="0"/>
        <w:spacing w:line="300" w:lineRule="auto"/>
        <w:ind w:left="420" w:firstLineChars="0"/>
        <w:rPr>
          <w:rFonts w:ascii="微软雅黑" w:hAnsi="微软雅黑" w:eastAsia="微软雅黑"/>
        </w:rPr>
      </w:pPr>
      <w:r>
        <w:rPr>
          <w:rFonts w:hint="eastAsia" w:ascii="微软雅黑" w:hAnsi="微软雅黑" w:eastAsia="微软雅黑"/>
        </w:rPr>
        <w:t>本主题解析投诉管理的</w:t>
      </w:r>
      <w:r>
        <w:rPr>
          <w:rFonts w:hint="eastAsia" w:ascii="微软雅黑" w:hAnsi="微软雅黑" w:eastAsia="微软雅黑"/>
          <w:b/>
          <w:bCs/>
          <w:u w:val="single"/>
        </w:rPr>
        <w:t>高难度</w:t>
      </w:r>
      <w:r>
        <w:rPr>
          <w:rFonts w:hint="eastAsia" w:ascii="微软雅黑" w:hAnsi="微软雅黑" w:eastAsia="微软雅黑"/>
        </w:rPr>
        <w:t>内容：群诉、舆论媒体管理和危机公关。</w:t>
      </w:r>
    </w:p>
    <w:p>
      <w:pPr>
        <w:pStyle w:val="6"/>
        <w:adjustRightInd w:val="0"/>
        <w:snapToGrid w:val="0"/>
        <w:spacing w:line="300" w:lineRule="auto"/>
        <w:ind w:left="420"/>
        <w:rPr>
          <w:rFonts w:ascii="微软雅黑" w:hAnsi="微软雅黑" w:eastAsia="微软雅黑"/>
          <w:u w:val="single"/>
        </w:rPr>
      </w:pPr>
      <w:r>
        <w:rPr>
          <w:rFonts w:hint="eastAsia" w:ascii="微软雅黑" w:hAnsi="微软雅黑" w:eastAsia="微软雅黑"/>
        </w:rPr>
        <w:t>课程</w:t>
      </w:r>
      <w:r>
        <w:rPr>
          <w:rFonts w:hint="eastAsia" w:ascii="微软雅黑" w:hAnsi="微软雅黑" w:eastAsia="微软雅黑"/>
          <w:lang w:val="en-US" w:eastAsia="zh-CN"/>
        </w:rPr>
        <w:t>指明了地产</w:t>
      </w:r>
      <w:r>
        <w:rPr>
          <w:rFonts w:hint="eastAsia" w:ascii="微软雅黑" w:hAnsi="微软雅黑" w:eastAsia="微软雅黑"/>
        </w:rPr>
        <w:t>群诉发生、发展的基本规律，对群诉的每个发展阶段都用详实案例讲授客户以及舆论媒体的应对策略、措施方法。是企业干部普及学习群诉处理和舆情应对知识、技能，建立完善群诉危机处理流程机制的推手。</w:t>
      </w:r>
    </w:p>
    <w:p>
      <w:pPr>
        <w:pStyle w:val="6"/>
        <w:adjustRightInd w:val="0"/>
        <w:snapToGrid w:val="0"/>
        <w:spacing w:line="300" w:lineRule="auto"/>
        <w:ind w:left="420" w:firstLine="0" w:firstLineChars="0"/>
        <w:rPr>
          <w:rFonts w:ascii="微软雅黑" w:hAnsi="微软雅黑" w:eastAsia="微软雅黑"/>
        </w:rPr>
      </w:pPr>
    </w:p>
    <w:p>
      <w:pPr>
        <w:pStyle w:val="6"/>
        <w:numPr>
          <w:ilvl w:val="0"/>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课程内容</w:t>
      </w:r>
      <w:r>
        <w:rPr>
          <w:rFonts w:hint="eastAsia" w:ascii="微软雅黑" w:hAnsi="微软雅黑" w:eastAsia="微软雅黑"/>
          <w:b/>
          <w:bCs/>
          <w:lang w:val="en-US" w:eastAsia="zh-CN"/>
        </w:rPr>
        <w:t>及大纲</w:t>
      </w:r>
    </w:p>
    <w:p>
      <w:pPr>
        <w:pStyle w:val="6"/>
        <w:numPr>
          <w:ilvl w:val="1"/>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厘清对投诉的认识（0</w:t>
      </w:r>
      <w:r>
        <w:rPr>
          <w:rFonts w:ascii="微软雅黑" w:hAnsi="微软雅黑" w:eastAsia="微软雅黑"/>
        </w:rPr>
        <w:t>.</w:t>
      </w:r>
      <w:r>
        <w:rPr>
          <w:rFonts w:hint="eastAsia" w:ascii="微软雅黑" w:hAnsi="微软雅黑" w:eastAsia="微软雅黑"/>
          <w:lang w:val="en-US" w:eastAsia="zh-CN"/>
        </w:rPr>
        <w:t>5</w:t>
      </w:r>
      <w:r>
        <w:rPr>
          <w:rFonts w:hint="eastAsia" w:ascii="微软雅黑" w:hAnsi="微软雅黑" w:eastAsia="微软雅黑"/>
        </w:rPr>
        <w:t>小时）</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投诉是什么？</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投诉的内涵：满意与投诉</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投诉的价值</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投诉处理，难在何处：影响投诉处理成效的因素</w:t>
      </w:r>
    </w:p>
    <w:p>
      <w:pPr>
        <w:pStyle w:val="6"/>
        <w:numPr>
          <w:ilvl w:val="1"/>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投诉应对与管理的基本原理（0</w:t>
      </w:r>
      <w:r>
        <w:rPr>
          <w:rFonts w:ascii="微软雅黑" w:hAnsi="微软雅黑" w:eastAsia="微软雅黑"/>
        </w:rPr>
        <w:t>.5</w:t>
      </w:r>
      <w:r>
        <w:rPr>
          <w:rFonts w:hint="eastAsia" w:ascii="微软雅黑" w:hAnsi="微软雅黑" w:eastAsia="微软雅黑"/>
        </w:rPr>
        <w:t>小时）</w:t>
      </w:r>
    </w:p>
    <w:p>
      <w:pPr>
        <w:pStyle w:val="6"/>
        <w:numPr>
          <w:ilvl w:val="0"/>
          <w:numId w:val="0"/>
        </w:numPr>
        <w:adjustRightInd w:val="0"/>
        <w:snapToGrid w:val="0"/>
        <w:spacing w:line="300" w:lineRule="auto"/>
        <w:ind w:left="420" w:leftChars="0" w:firstLine="210" w:firstLineChars="100"/>
        <w:rPr>
          <w:rFonts w:hint="eastAsia" w:ascii="微软雅黑" w:hAnsi="微软雅黑" w:eastAsia="微软雅黑"/>
          <w:lang w:val="en-US" w:eastAsia="zh-CN"/>
        </w:rPr>
      </w:pPr>
      <w:r>
        <w:rPr>
          <w:rFonts w:hint="eastAsia" w:ascii="微软雅黑" w:hAnsi="微软雅黑" w:eastAsia="微软雅黑"/>
          <w:lang w:val="en-US" w:eastAsia="zh-CN"/>
        </w:rPr>
        <w:t>（非常重要，但很容易被忽略轻视！）</w:t>
      </w:r>
    </w:p>
    <w:p>
      <w:pPr>
        <w:pStyle w:val="6"/>
        <w:numPr>
          <w:ilvl w:val="0"/>
          <w:numId w:val="0"/>
        </w:numPr>
        <w:adjustRightInd w:val="0"/>
        <w:snapToGrid w:val="0"/>
        <w:spacing w:line="300" w:lineRule="auto"/>
        <w:ind w:left="420" w:leftChars="0" w:firstLine="210" w:firstLineChars="100"/>
        <w:rPr>
          <w:rFonts w:ascii="微软雅黑" w:hAnsi="微软雅黑" w:eastAsia="微软雅黑"/>
        </w:rPr>
      </w:pPr>
      <w:r>
        <w:rPr>
          <w:rFonts w:hint="eastAsia" w:ascii="微软雅黑" w:hAnsi="微软雅黑" w:eastAsia="微软雅黑"/>
        </w:rPr>
        <w:t>--与</w:t>
      </w:r>
      <w:r>
        <w:rPr>
          <w:rFonts w:hint="eastAsia" w:ascii="微软雅黑" w:hAnsi="微软雅黑" w:eastAsia="微软雅黑"/>
          <w:lang w:eastAsia="zh-CN"/>
        </w:rPr>
        <w:t>“</w:t>
      </w:r>
      <w:r>
        <w:rPr>
          <w:rFonts w:hint="eastAsia" w:ascii="微软雅黑" w:hAnsi="微软雅黑" w:eastAsia="微软雅黑"/>
          <w:lang w:val="en-US" w:eastAsia="zh-CN"/>
        </w:rPr>
        <w:t>投诉认知</w:t>
      </w:r>
      <w:r>
        <w:rPr>
          <w:rFonts w:hint="eastAsia" w:ascii="微软雅黑" w:hAnsi="微软雅黑" w:eastAsia="微软雅黑"/>
          <w:lang w:eastAsia="zh-CN"/>
        </w:rPr>
        <w:t>”</w:t>
      </w:r>
      <w:r>
        <w:rPr>
          <w:rFonts w:hint="eastAsia" w:ascii="微软雅黑" w:hAnsi="微软雅黑" w:eastAsia="微软雅黑"/>
        </w:rPr>
        <w:t>一起，让学员掌握基础原理，有利于指导后期工作实践，避免误区盲区，少走弯路，不易被高大上的、似是而非说法、概念所忽悠，把握服务管理的根本。</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投诉处理的目标与典型误区</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投诉应对不当的根源</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高屋建瓴：（投诉）管理的基础原理和模型</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投诉管理的核心</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投诉应对与管理层次矩阵</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投诉应对与管理的核心策略与原则要求</w:t>
      </w:r>
    </w:p>
    <w:p>
      <w:pPr>
        <w:pStyle w:val="6"/>
        <w:numPr>
          <w:ilvl w:val="1"/>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群诉处理及舆情危机应对（</w:t>
      </w:r>
      <w:r>
        <w:rPr>
          <w:rFonts w:hint="eastAsia" w:ascii="微软雅黑" w:hAnsi="微软雅黑" w:eastAsia="微软雅黑"/>
          <w:b/>
          <w:bCs/>
          <w:lang w:val="en-US" w:eastAsia="zh-CN"/>
        </w:rPr>
        <w:t>主课</w:t>
      </w:r>
      <w:r>
        <w:rPr>
          <w:rFonts w:hint="eastAsia" w:ascii="微软雅黑" w:hAnsi="微软雅黑" w:eastAsia="微软雅黑"/>
          <w:b/>
          <w:bCs/>
        </w:rPr>
        <w:t>）</w:t>
      </w:r>
    </w:p>
    <w:p>
      <w:pPr>
        <w:pStyle w:val="6"/>
        <w:numPr>
          <w:ilvl w:val="0"/>
          <w:numId w:val="0"/>
        </w:numPr>
        <w:adjustRightInd w:val="0"/>
        <w:snapToGrid w:val="0"/>
        <w:spacing w:line="300" w:lineRule="auto"/>
        <w:ind w:left="840" w:leftChars="0"/>
        <w:rPr>
          <w:rFonts w:hint="default" w:ascii="微软雅黑" w:hAnsi="微软雅黑" w:eastAsia="微软雅黑"/>
          <w:lang w:val="en-US" w:eastAsia="zh-CN"/>
        </w:rPr>
      </w:pPr>
      <w:r>
        <w:rPr>
          <w:rFonts w:hint="eastAsia" w:ascii="微软雅黑" w:hAnsi="微软雅黑" w:eastAsia="微软雅黑"/>
          <w:lang w:val="en-US" w:eastAsia="zh-CN"/>
        </w:rPr>
        <w:t>第一节：综述  约20分钟</w:t>
      </w:r>
    </w:p>
    <w:p>
      <w:pPr>
        <w:pStyle w:val="6"/>
        <w:numPr>
          <w:ilvl w:val="0"/>
          <w:numId w:val="2"/>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常规投诉处理流程的特点与适应范围</w:t>
      </w:r>
    </w:p>
    <w:p>
      <w:pPr>
        <w:pStyle w:val="6"/>
        <w:numPr>
          <w:ilvl w:val="0"/>
          <w:numId w:val="2"/>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地产群诉危机不得不防</w:t>
      </w:r>
    </w:p>
    <w:p>
      <w:pPr>
        <w:pStyle w:val="6"/>
        <w:numPr>
          <w:ilvl w:val="0"/>
          <w:numId w:val="2"/>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群诉危机应对之难在何处？</w:t>
      </w:r>
      <w:r>
        <w:rPr>
          <w:rFonts w:hint="eastAsia" w:ascii="微软雅黑" w:hAnsi="微软雅黑" w:eastAsia="微软雅黑"/>
          <w:lang w:val="en-US" w:eastAsia="zh-CN"/>
        </w:rPr>
        <w:t xml:space="preserve">    </w:t>
      </w:r>
    </w:p>
    <w:p>
      <w:pPr>
        <w:pStyle w:val="6"/>
        <w:numPr>
          <w:ilvl w:val="0"/>
          <w:numId w:val="0"/>
        </w:numPr>
        <w:adjustRightInd w:val="0"/>
        <w:snapToGrid w:val="0"/>
        <w:spacing w:line="300" w:lineRule="auto"/>
        <w:ind w:left="840" w:leftChars="0"/>
        <w:rPr>
          <w:rFonts w:hint="eastAsia" w:ascii="微软雅黑" w:hAnsi="微软雅黑" w:eastAsia="微软雅黑"/>
        </w:rPr>
      </w:pPr>
      <w:r>
        <w:rPr>
          <w:rFonts w:hint="eastAsia" w:ascii="微软雅黑" w:hAnsi="微软雅黑" w:eastAsia="微软雅黑"/>
          <w:lang w:val="en-US" w:eastAsia="zh-CN"/>
        </w:rPr>
        <w:t>第二节：</w:t>
      </w:r>
      <w:r>
        <w:rPr>
          <w:rFonts w:hint="eastAsia" w:ascii="微软雅黑" w:hAnsi="微软雅黑" w:eastAsia="微软雅黑"/>
        </w:rPr>
        <w:t>心中有数：</w:t>
      </w:r>
    </w:p>
    <w:p>
      <w:pPr>
        <w:pStyle w:val="6"/>
        <w:numPr>
          <w:ilvl w:val="0"/>
          <w:numId w:val="0"/>
        </w:numPr>
        <w:adjustRightInd w:val="0"/>
        <w:snapToGrid w:val="0"/>
        <w:spacing w:line="300" w:lineRule="auto"/>
        <w:ind w:firstLine="840" w:firstLineChars="400"/>
        <w:rPr>
          <w:rFonts w:ascii="微软雅黑" w:hAnsi="微软雅黑" w:eastAsia="微软雅黑"/>
        </w:rPr>
      </w:pPr>
      <w:r>
        <w:rPr>
          <w:rFonts w:hint="eastAsia" w:ascii="微软雅黑" w:hAnsi="微软雅黑" w:eastAsia="微软雅黑"/>
        </w:rPr>
        <w:t>掌握群诉演变及处理的基本规律</w:t>
      </w:r>
      <w:r>
        <w:rPr>
          <w:rFonts w:hint="eastAsia" w:ascii="微软雅黑" w:hAnsi="微软雅黑" w:eastAsia="微软雅黑"/>
          <w:lang w:val="en-US" w:eastAsia="zh-CN"/>
        </w:rPr>
        <w:t xml:space="preserve">   约0.5小时</w:t>
      </w:r>
    </w:p>
    <w:p>
      <w:pPr>
        <w:pStyle w:val="6"/>
        <w:numPr>
          <w:ilvl w:val="0"/>
          <w:numId w:val="3"/>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群诉发生的原因和条件</w:t>
      </w:r>
    </w:p>
    <w:p>
      <w:pPr>
        <w:pStyle w:val="6"/>
        <w:numPr>
          <w:ilvl w:val="0"/>
          <w:numId w:val="3"/>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客户不满升级群诉的演变表现</w:t>
      </w:r>
    </w:p>
    <w:p>
      <w:pPr>
        <w:pStyle w:val="6"/>
        <w:numPr>
          <w:ilvl w:val="0"/>
          <w:numId w:val="3"/>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群诉危机发展的阶段及舆情表现</w:t>
      </w:r>
    </w:p>
    <w:p>
      <w:pPr>
        <w:pStyle w:val="6"/>
        <w:numPr>
          <w:ilvl w:val="0"/>
          <w:numId w:val="3"/>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群诉危机管控的5个阶段</w:t>
      </w:r>
    </w:p>
    <w:p>
      <w:pPr>
        <w:pStyle w:val="6"/>
        <w:numPr>
          <w:ilvl w:val="0"/>
          <w:numId w:val="3"/>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群诉危机应对管理的主线逻辑</w:t>
      </w:r>
    </w:p>
    <w:p>
      <w:pPr>
        <w:pStyle w:val="6"/>
        <w:numPr>
          <w:ilvl w:val="0"/>
          <w:numId w:val="3"/>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群诉危机管理的核心原则与策略工具</w:t>
      </w:r>
    </w:p>
    <w:p>
      <w:pPr>
        <w:pStyle w:val="6"/>
        <w:numPr>
          <w:ilvl w:val="0"/>
          <w:numId w:val="0"/>
        </w:numPr>
        <w:adjustRightInd w:val="0"/>
        <w:snapToGrid w:val="0"/>
        <w:spacing w:line="300" w:lineRule="auto"/>
        <w:ind w:left="840" w:leftChars="0"/>
        <w:rPr>
          <w:rFonts w:ascii="微软雅黑" w:hAnsi="微软雅黑" w:eastAsia="微软雅黑"/>
        </w:rPr>
      </w:pPr>
      <w:r>
        <w:rPr>
          <w:rFonts w:hint="eastAsia" w:ascii="微软雅黑" w:hAnsi="微软雅黑" w:eastAsia="微软雅黑"/>
          <w:lang w:val="en-US" w:eastAsia="zh-CN"/>
        </w:rPr>
        <w:t>第三节：</w:t>
      </w:r>
      <w:r>
        <w:rPr>
          <w:rFonts w:hint="eastAsia" w:ascii="微软雅黑" w:hAnsi="微软雅黑" w:eastAsia="微软雅黑"/>
        </w:rPr>
        <w:t>危机潜伏期的预控管理</w:t>
      </w:r>
      <w:r>
        <w:rPr>
          <w:rFonts w:hint="eastAsia" w:ascii="微软雅黑" w:hAnsi="微软雅黑" w:eastAsia="微软雅黑"/>
          <w:lang w:val="en-US" w:eastAsia="zh-CN"/>
        </w:rPr>
        <w:t xml:space="preserve">  （</w:t>
      </w:r>
      <w:r>
        <w:rPr>
          <w:rFonts w:hint="eastAsia" w:ascii="微软雅黑" w:hAnsi="微软雅黑" w:eastAsia="微软雅黑"/>
          <w:b/>
          <w:bCs/>
          <w:lang w:val="en-US" w:eastAsia="zh-CN"/>
        </w:rPr>
        <w:t>约1.5小时</w:t>
      </w:r>
      <w:r>
        <w:rPr>
          <w:rFonts w:hint="eastAsia" w:ascii="微软雅黑" w:hAnsi="微软雅黑" w:eastAsia="微软雅黑"/>
          <w:lang w:val="en-US" w:eastAsia="zh-CN"/>
        </w:rPr>
        <w:t>）</w:t>
      </w:r>
    </w:p>
    <w:p>
      <w:pPr>
        <w:pStyle w:val="6"/>
        <w:numPr>
          <w:ilvl w:val="0"/>
          <w:numId w:val="4"/>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群诉事件预控管理要点（逐一解析）</w:t>
      </w:r>
    </w:p>
    <w:p>
      <w:pPr>
        <w:pStyle w:val="6"/>
        <w:adjustRightInd w:val="0"/>
        <w:snapToGrid w:val="0"/>
        <w:spacing w:line="300" w:lineRule="auto"/>
        <w:ind w:left="1680" w:firstLine="0" w:firstLineChars="0"/>
        <w:rPr>
          <w:rFonts w:ascii="微软雅黑" w:hAnsi="微软雅黑" w:eastAsia="微软雅黑"/>
        </w:rPr>
      </w:pPr>
      <w:r>
        <w:rPr>
          <w:rFonts w:hint="eastAsia" w:ascii="微软雅黑" w:hAnsi="微软雅黑" w:eastAsia="微软雅黑"/>
        </w:rPr>
        <w:t>涉及：危机管理机构、常态化危机管理机制、危机风险排查与整改、危机预案、常态化危机应对模拟演练等；</w:t>
      </w:r>
    </w:p>
    <w:p>
      <w:pPr>
        <w:pStyle w:val="6"/>
        <w:numPr>
          <w:ilvl w:val="0"/>
          <w:numId w:val="4"/>
        </w:numPr>
        <w:adjustRightInd w:val="0"/>
        <w:snapToGrid w:val="0"/>
        <w:spacing w:line="300" w:lineRule="auto"/>
        <w:ind w:left="1685" w:leftChars="0" w:hanging="425" w:firstLineChars="0"/>
        <w:rPr>
          <w:rFonts w:hint="eastAsia" w:ascii="微软雅黑" w:hAnsi="微软雅黑" w:eastAsia="微软雅黑"/>
        </w:rPr>
      </w:pPr>
      <w:r>
        <w:rPr>
          <w:rFonts w:hint="eastAsia" w:ascii="微软雅黑" w:hAnsi="微软雅黑" w:eastAsia="微软雅黑"/>
        </w:rPr>
        <w:t>潜伏期媒体舆情管理要点（逐一解析）</w:t>
      </w:r>
    </w:p>
    <w:p>
      <w:pPr>
        <w:pStyle w:val="6"/>
        <w:adjustRightInd w:val="0"/>
        <w:snapToGrid w:val="0"/>
        <w:spacing w:line="300" w:lineRule="auto"/>
        <w:ind w:left="1680" w:firstLine="0" w:firstLineChars="0"/>
        <w:rPr>
          <w:rFonts w:ascii="微软雅黑" w:hAnsi="微软雅黑" w:eastAsia="微软雅黑"/>
        </w:rPr>
      </w:pPr>
      <w:r>
        <w:rPr>
          <w:rFonts w:hint="eastAsia" w:ascii="微软雅黑" w:hAnsi="微软雅黑" w:eastAsia="微软雅黑"/>
        </w:rPr>
        <w:t>涉及：舆情管理</w:t>
      </w:r>
      <w:r>
        <w:rPr>
          <w:rFonts w:hint="eastAsia" w:ascii="微软雅黑" w:hAnsi="微软雅黑" w:eastAsia="微软雅黑"/>
          <w:lang w:val="en-US" w:eastAsia="zh-CN"/>
        </w:rPr>
        <w:t>机构建立、舆情管理</w:t>
      </w:r>
      <w:r>
        <w:rPr>
          <w:rFonts w:hint="eastAsia" w:ascii="微软雅黑" w:hAnsi="微软雅黑" w:eastAsia="微软雅黑"/>
        </w:rPr>
        <w:t>机制与平台建设、舆情监控、</w:t>
      </w:r>
      <w:r>
        <w:rPr>
          <w:rFonts w:hint="eastAsia" w:ascii="微软雅黑" w:hAnsi="微软雅黑" w:eastAsia="微软雅黑"/>
          <w:lang w:val="en-US" w:eastAsia="zh-CN"/>
        </w:rPr>
        <w:t>完善</w:t>
      </w:r>
      <w:r>
        <w:rPr>
          <w:rFonts w:hint="eastAsia" w:ascii="微软雅黑" w:hAnsi="微软雅黑" w:eastAsia="微软雅黑"/>
        </w:rPr>
        <w:t>舆情危机预案、媒体关系经营、客户分级</w:t>
      </w:r>
      <w:r>
        <w:rPr>
          <w:rFonts w:hint="eastAsia" w:ascii="微软雅黑" w:hAnsi="微软雅黑" w:eastAsia="微软雅黑"/>
          <w:lang w:eastAsia="zh-CN"/>
        </w:rPr>
        <w:t>、</w:t>
      </w:r>
      <w:r>
        <w:rPr>
          <w:rFonts w:hint="eastAsia" w:ascii="微软雅黑" w:hAnsi="微软雅黑" w:eastAsia="微软雅黑"/>
          <w:lang w:val="en-US" w:eastAsia="zh-CN"/>
        </w:rPr>
        <w:t>企业品牌形象宣传塑造</w:t>
      </w:r>
      <w:r>
        <w:rPr>
          <w:rFonts w:ascii="微软雅黑" w:hAnsi="微软雅黑" w:eastAsia="微软雅黑"/>
        </w:rPr>
        <w:t>…</w:t>
      </w:r>
    </w:p>
    <w:p>
      <w:pPr>
        <w:pStyle w:val="6"/>
        <w:numPr>
          <w:ilvl w:val="0"/>
          <w:numId w:val="4"/>
        </w:numPr>
        <w:adjustRightInd w:val="0"/>
        <w:snapToGrid w:val="0"/>
        <w:spacing w:line="300" w:lineRule="auto"/>
        <w:ind w:left="1685" w:leftChars="0" w:hanging="425" w:firstLineChars="0"/>
        <w:rPr>
          <w:rFonts w:hint="eastAsia" w:ascii="微软雅黑" w:hAnsi="微软雅黑" w:eastAsia="微软雅黑"/>
        </w:rPr>
      </w:pPr>
      <w:r>
        <w:rPr>
          <w:rFonts w:hint="eastAsia" w:ascii="微软雅黑" w:hAnsi="微软雅黑" w:eastAsia="微软雅黑"/>
        </w:rPr>
        <w:t>研讨与作业</w:t>
      </w:r>
    </w:p>
    <w:p>
      <w:pPr>
        <w:pStyle w:val="6"/>
        <w:numPr>
          <w:ilvl w:val="0"/>
          <w:numId w:val="0"/>
        </w:numPr>
        <w:adjustRightInd w:val="0"/>
        <w:snapToGrid w:val="0"/>
        <w:spacing w:line="300" w:lineRule="auto"/>
        <w:ind w:left="840" w:leftChars="0"/>
        <w:rPr>
          <w:rFonts w:hint="default" w:ascii="微软雅黑" w:hAnsi="微软雅黑" w:eastAsia="微软雅黑"/>
          <w:b/>
          <w:bCs/>
          <w:lang w:val="en-US" w:eastAsia="zh-CN"/>
        </w:rPr>
      </w:pPr>
      <w:r>
        <w:rPr>
          <w:rFonts w:hint="eastAsia" w:ascii="微软雅黑" w:hAnsi="微软雅黑" w:eastAsia="微软雅黑"/>
          <w:lang w:val="en-US" w:eastAsia="zh-CN"/>
        </w:rPr>
        <w:t>第四节：</w:t>
      </w:r>
      <w:r>
        <w:rPr>
          <w:rFonts w:hint="eastAsia" w:ascii="微软雅黑" w:hAnsi="微软雅黑" w:eastAsia="微软雅黑"/>
        </w:rPr>
        <w:t>群诉酝酿期应对处置（重点）</w:t>
      </w:r>
      <w:r>
        <w:rPr>
          <w:rFonts w:hint="eastAsia" w:ascii="微软雅黑" w:hAnsi="微软雅黑" w:eastAsia="微软雅黑"/>
          <w:b/>
          <w:bCs/>
          <w:u w:val="single"/>
          <w:lang w:val="en-US" w:eastAsia="zh-CN"/>
        </w:rPr>
        <w:t>约1.5-2小时</w:t>
      </w:r>
    </w:p>
    <w:p>
      <w:pPr>
        <w:pStyle w:val="6"/>
        <w:numPr>
          <w:ilvl w:val="0"/>
          <w:numId w:val="5"/>
        </w:numPr>
        <w:adjustRightInd w:val="0"/>
        <w:snapToGrid w:val="0"/>
        <w:spacing w:line="300" w:lineRule="auto"/>
        <w:ind w:left="1685" w:leftChars="0" w:hanging="425" w:firstLineChars="0"/>
        <w:rPr>
          <w:rFonts w:ascii="微软雅黑" w:hAnsi="微软雅黑" w:eastAsia="微软雅黑"/>
          <w:b/>
          <w:bCs/>
        </w:rPr>
      </w:pPr>
      <w:r>
        <w:rPr>
          <w:rFonts w:hint="eastAsia" w:ascii="微软雅黑" w:hAnsi="微软雅黑" w:eastAsia="微软雅黑"/>
          <w:b/>
          <w:bCs/>
        </w:rPr>
        <w:t>信号预警</w:t>
      </w:r>
    </w:p>
    <w:p>
      <w:pPr>
        <w:pStyle w:val="6"/>
        <w:numPr>
          <w:ilvl w:val="0"/>
          <w:numId w:val="5"/>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群诉危机应对管理的主线</w:t>
      </w:r>
    </w:p>
    <w:p>
      <w:pPr>
        <w:pStyle w:val="6"/>
        <w:numPr>
          <w:ilvl w:val="0"/>
          <w:numId w:val="5"/>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酝酿期快速处置措施4个要项</w:t>
      </w:r>
    </w:p>
    <w:p>
      <w:pPr>
        <w:pStyle w:val="6"/>
        <w:numPr>
          <w:ilvl w:val="0"/>
          <w:numId w:val="5"/>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客户应对沟通要点</w:t>
      </w:r>
    </w:p>
    <w:p>
      <w:pPr>
        <w:pStyle w:val="6"/>
        <w:numPr>
          <w:ilvl w:val="0"/>
          <w:numId w:val="5"/>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内部工作要点</w:t>
      </w:r>
    </w:p>
    <w:p>
      <w:pPr>
        <w:pStyle w:val="6"/>
        <w:numPr>
          <w:ilvl w:val="0"/>
          <w:numId w:val="5"/>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酝酿期不利舆情管理方法</w:t>
      </w:r>
    </w:p>
    <w:p>
      <w:pPr>
        <w:pStyle w:val="6"/>
        <w:numPr>
          <w:ilvl w:val="0"/>
          <w:numId w:val="6"/>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总则</w:t>
      </w:r>
    </w:p>
    <w:p>
      <w:pPr>
        <w:pStyle w:val="6"/>
        <w:numPr>
          <w:ilvl w:val="0"/>
          <w:numId w:val="6"/>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企业不利舆情应对策略细分</w:t>
      </w:r>
    </w:p>
    <w:p>
      <w:pPr>
        <w:pStyle w:val="6"/>
        <w:numPr>
          <w:ilvl w:val="0"/>
          <w:numId w:val="6"/>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被动应对和主动应对的具体方法、口径模板</w:t>
      </w:r>
    </w:p>
    <w:p>
      <w:pPr>
        <w:pStyle w:val="6"/>
        <w:numPr>
          <w:ilvl w:val="0"/>
          <w:numId w:val="6"/>
        </w:numPr>
        <w:adjustRightInd w:val="0"/>
        <w:snapToGrid w:val="0"/>
        <w:spacing w:line="300" w:lineRule="auto"/>
        <w:ind w:left="2105" w:leftChars="0" w:hanging="425" w:firstLineChars="0"/>
        <w:rPr>
          <w:rFonts w:ascii="微软雅黑" w:hAnsi="微软雅黑" w:eastAsia="微软雅黑"/>
          <w:u w:val="single"/>
        </w:rPr>
      </w:pPr>
      <w:r>
        <w:rPr>
          <w:rFonts w:hint="eastAsia" w:ascii="微软雅黑" w:hAnsi="微软雅黑" w:eastAsia="微软雅黑"/>
          <w:u w:val="single"/>
        </w:rPr>
        <w:t>重点讲解积极主动应对不利舆情的方法及案例</w:t>
      </w:r>
    </w:p>
    <w:p>
      <w:pPr>
        <w:pStyle w:val="6"/>
        <w:numPr>
          <w:ilvl w:val="0"/>
          <w:numId w:val="6"/>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群诉酝酿期记者采访应对（包含应对记者电话采访、现场突访）</w:t>
      </w:r>
    </w:p>
    <w:p>
      <w:pPr>
        <w:pStyle w:val="6"/>
        <w:numPr>
          <w:ilvl w:val="0"/>
          <w:numId w:val="6"/>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如何应对自媒体或记者的敲诈？</w:t>
      </w:r>
    </w:p>
    <w:p>
      <w:pPr>
        <w:pStyle w:val="6"/>
        <w:numPr>
          <w:ilvl w:val="0"/>
          <w:numId w:val="5"/>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酝酿期管理应对总结 提醒</w:t>
      </w:r>
    </w:p>
    <w:p>
      <w:pPr>
        <w:pStyle w:val="6"/>
        <w:numPr>
          <w:ilvl w:val="0"/>
          <w:numId w:val="0"/>
        </w:numPr>
        <w:adjustRightInd w:val="0"/>
        <w:snapToGrid w:val="0"/>
        <w:spacing w:line="300" w:lineRule="auto"/>
        <w:ind w:left="840" w:leftChars="0"/>
        <w:rPr>
          <w:rFonts w:hint="default" w:ascii="微软雅黑" w:hAnsi="微软雅黑" w:eastAsia="微软雅黑"/>
          <w:lang w:val="en-US" w:eastAsia="zh-CN"/>
        </w:rPr>
      </w:pPr>
      <w:r>
        <w:rPr>
          <w:rFonts w:hint="eastAsia" w:ascii="微软雅黑" w:hAnsi="微软雅黑" w:eastAsia="微软雅黑"/>
          <w:lang w:val="en-US" w:eastAsia="zh-CN"/>
        </w:rPr>
        <w:t>第五节：</w:t>
      </w:r>
      <w:r>
        <w:rPr>
          <w:rFonts w:hint="eastAsia" w:ascii="微软雅黑" w:hAnsi="微软雅黑" w:eastAsia="微软雅黑"/>
        </w:rPr>
        <w:t>群诉危机爆发期的应对处置（重点）</w:t>
      </w:r>
      <w:r>
        <w:rPr>
          <w:rFonts w:hint="eastAsia" w:ascii="微软雅黑" w:hAnsi="微软雅黑" w:eastAsia="微软雅黑"/>
          <w:b/>
          <w:bCs/>
          <w:lang w:val="en-US" w:eastAsia="zh-CN"/>
        </w:rPr>
        <w:t>约2小时</w:t>
      </w:r>
    </w:p>
    <w:p>
      <w:pPr>
        <w:pStyle w:val="6"/>
        <w:numPr>
          <w:ilvl w:val="0"/>
          <w:numId w:val="7"/>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 xml:space="preserve">事情突发 万事俱急 </w:t>
      </w:r>
      <w:r>
        <w:rPr>
          <w:rFonts w:ascii="微软雅黑" w:hAnsi="微软雅黑" w:eastAsia="微软雅黑"/>
        </w:rPr>
        <w:t xml:space="preserve"> </w:t>
      </w:r>
      <w:r>
        <w:rPr>
          <w:rFonts w:hint="eastAsia" w:ascii="微软雅黑" w:hAnsi="微软雅黑" w:eastAsia="微软雅黑"/>
        </w:rPr>
        <w:t>把握应对关键逻辑</w:t>
      </w:r>
    </w:p>
    <w:p>
      <w:pPr>
        <w:pStyle w:val="6"/>
        <w:numPr>
          <w:ilvl w:val="0"/>
          <w:numId w:val="7"/>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群诉客户心理行为演变及应对方向</w:t>
      </w:r>
    </w:p>
    <w:p>
      <w:pPr>
        <w:pStyle w:val="6"/>
        <w:numPr>
          <w:ilvl w:val="0"/>
          <w:numId w:val="7"/>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群诉危机中的媒体与记者特点</w:t>
      </w:r>
    </w:p>
    <w:p>
      <w:pPr>
        <w:pStyle w:val="6"/>
        <w:numPr>
          <w:ilvl w:val="0"/>
          <w:numId w:val="7"/>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群诉中的社会公众与官方状态</w:t>
      </w:r>
    </w:p>
    <w:p>
      <w:pPr>
        <w:pStyle w:val="6"/>
        <w:numPr>
          <w:ilvl w:val="0"/>
          <w:numId w:val="7"/>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企业应对要点，6到6不</w:t>
      </w:r>
    </w:p>
    <w:p>
      <w:pPr>
        <w:pStyle w:val="6"/>
        <w:numPr>
          <w:ilvl w:val="0"/>
          <w:numId w:val="7"/>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控场降温八大措施</w:t>
      </w:r>
    </w:p>
    <w:p>
      <w:pPr>
        <w:pStyle w:val="6"/>
        <w:numPr>
          <w:ilvl w:val="0"/>
          <w:numId w:val="7"/>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lang w:val="en-US" w:eastAsia="zh-CN"/>
        </w:rPr>
        <w:t>基本套路及案例解析</w:t>
      </w:r>
    </w:p>
    <w:p>
      <w:pPr>
        <w:pStyle w:val="6"/>
        <w:numPr>
          <w:ilvl w:val="0"/>
          <w:numId w:val="7"/>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应对不当之误区</w:t>
      </w:r>
      <w:r>
        <w:rPr>
          <w:rFonts w:hint="eastAsia" w:ascii="微软雅黑" w:hAnsi="微软雅黑" w:eastAsia="微软雅黑"/>
          <w:lang w:eastAsia="zh-CN"/>
        </w:rPr>
        <w:t>（</w:t>
      </w:r>
      <w:r>
        <w:rPr>
          <w:rFonts w:hint="eastAsia" w:ascii="微软雅黑" w:hAnsi="微软雅黑" w:eastAsia="微软雅黑"/>
          <w:lang w:val="en-US" w:eastAsia="zh-CN"/>
        </w:rPr>
        <w:t>案例</w:t>
      </w:r>
      <w:r>
        <w:rPr>
          <w:rFonts w:hint="eastAsia" w:ascii="微软雅黑" w:hAnsi="微软雅黑" w:eastAsia="微软雅黑"/>
          <w:lang w:eastAsia="zh-CN"/>
        </w:rPr>
        <w:t>）</w:t>
      </w:r>
    </w:p>
    <w:p>
      <w:pPr>
        <w:pStyle w:val="6"/>
        <w:numPr>
          <w:ilvl w:val="0"/>
          <w:numId w:val="7"/>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群诉危机中的媒体应对解析</w:t>
      </w:r>
    </w:p>
    <w:p>
      <w:pPr>
        <w:pStyle w:val="6"/>
        <w:numPr>
          <w:ilvl w:val="0"/>
          <w:numId w:val="8"/>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关键策略与技巧</w:t>
      </w:r>
    </w:p>
    <w:p>
      <w:pPr>
        <w:pStyle w:val="6"/>
        <w:numPr>
          <w:ilvl w:val="0"/>
          <w:numId w:val="8"/>
        </w:numPr>
        <w:adjustRightInd w:val="0"/>
        <w:snapToGrid w:val="0"/>
        <w:spacing w:line="300" w:lineRule="auto"/>
        <w:ind w:left="2105" w:leftChars="0" w:hanging="425" w:firstLineChars="0"/>
        <w:rPr>
          <w:rFonts w:ascii="微软雅黑" w:hAnsi="微软雅黑" w:eastAsia="微软雅黑"/>
        </w:rPr>
      </w:pPr>
      <w:r>
        <w:rPr>
          <w:rFonts w:hint="eastAsia" w:ascii="微软雅黑" w:hAnsi="微软雅黑" w:eastAsia="微软雅黑"/>
        </w:rPr>
        <w:t>案例解析：特斯拉、比亚迪、现代城、万科、龙湖地产、中海等</w:t>
      </w:r>
    </w:p>
    <w:p>
      <w:pPr>
        <w:pStyle w:val="6"/>
        <w:numPr>
          <w:ilvl w:val="0"/>
          <w:numId w:val="7"/>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研讨与作业</w:t>
      </w:r>
    </w:p>
    <w:p>
      <w:pPr>
        <w:pStyle w:val="6"/>
        <w:numPr>
          <w:ilvl w:val="0"/>
          <w:numId w:val="0"/>
        </w:numPr>
        <w:adjustRightInd w:val="0"/>
        <w:snapToGrid w:val="0"/>
        <w:spacing w:line="300" w:lineRule="auto"/>
        <w:ind w:left="840" w:leftChars="0"/>
        <w:rPr>
          <w:rFonts w:hint="eastAsia" w:ascii="微软雅黑" w:hAnsi="微软雅黑" w:eastAsia="微软雅黑"/>
          <w:lang w:eastAsia="zh-CN"/>
        </w:rPr>
      </w:pPr>
      <w:r>
        <w:rPr>
          <w:rFonts w:hint="eastAsia" w:ascii="微软雅黑" w:hAnsi="微软雅黑" w:eastAsia="微软雅黑"/>
          <w:lang w:val="en-US" w:eastAsia="zh-CN"/>
        </w:rPr>
        <w:t>第六节：</w:t>
      </w:r>
      <w:r>
        <w:rPr>
          <w:rFonts w:hint="eastAsia" w:ascii="微软雅黑" w:hAnsi="微软雅黑" w:eastAsia="微软雅黑"/>
        </w:rPr>
        <w:t>群诉“处置转化期”管控要点</w:t>
      </w:r>
      <w:r>
        <w:rPr>
          <w:rFonts w:hint="eastAsia" w:ascii="微软雅黑" w:hAnsi="微软雅黑" w:eastAsia="微软雅黑"/>
          <w:lang w:eastAsia="zh-CN"/>
        </w:rPr>
        <w:t>（</w:t>
      </w:r>
      <w:r>
        <w:rPr>
          <w:rFonts w:hint="eastAsia" w:ascii="微软雅黑" w:hAnsi="微软雅黑" w:eastAsia="微软雅黑"/>
          <w:b/>
          <w:bCs/>
          <w:lang w:val="en-US" w:eastAsia="zh-CN"/>
        </w:rPr>
        <w:t>约1小时</w:t>
      </w:r>
      <w:r>
        <w:rPr>
          <w:rFonts w:hint="eastAsia" w:ascii="微软雅黑" w:hAnsi="微软雅黑" w:eastAsia="微软雅黑"/>
          <w:lang w:eastAsia="zh-CN"/>
        </w:rPr>
        <w:t>）</w:t>
      </w:r>
    </w:p>
    <w:p>
      <w:pPr>
        <w:pStyle w:val="6"/>
        <w:numPr>
          <w:ilvl w:val="0"/>
          <w:numId w:val="9"/>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处置转化期八大措施</w:t>
      </w:r>
    </w:p>
    <w:p>
      <w:pPr>
        <w:pStyle w:val="6"/>
        <w:numPr>
          <w:ilvl w:val="0"/>
          <w:numId w:val="9"/>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谈判博弈策略的考量因素</w:t>
      </w:r>
    </w:p>
    <w:p>
      <w:pPr>
        <w:pStyle w:val="6"/>
        <w:numPr>
          <w:ilvl w:val="0"/>
          <w:numId w:val="9"/>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沟通谈判技巧</w:t>
      </w:r>
      <w:r>
        <w:rPr>
          <w:rFonts w:hint="eastAsia" w:ascii="微软雅黑" w:hAnsi="微软雅黑" w:eastAsia="微软雅黑"/>
          <w:lang w:val="en-US" w:eastAsia="zh-CN"/>
        </w:rPr>
        <w:t>与把握底线</w:t>
      </w:r>
    </w:p>
    <w:p>
      <w:pPr>
        <w:pStyle w:val="6"/>
        <w:numPr>
          <w:ilvl w:val="0"/>
          <w:numId w:val="9"/>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客户人群典型性格及行为模式在投诉中的运用</w:t>
      </w:r>
    </w:p>
    <w:p>
      <w:pPr>
        <w:pStyle w:val="6"/>
        <w:numPr>
          <w:ilvl w:val="0"/>
          <w:numId w:val="9"/>
        </w:numPr>
        <w:adjustRightInd w:val="0"/>
        <w:snapToGrid w:val="0"/>
        <w:spacing w:line="300" w:lineRule="auto"/>
        <w:ind w:left="1685" w:leftChars="0" w:hanging="425" w:firstLineChars="0"/>
        <w:rPr>
          <w:rFonts w:ascii="微软雅黑" w:hAnsi="微软雅黑" w:eastAsia="微软雅黑"/>
        </w:rPr>
      </w:pPr>
      <w:r>
        <w:rPr>
          <w:rFonts w:hint="eastAsia" w:ascii="微软雅黑" w:hAnsi="微软雅黑" w:eastAsia="微软雅黑"/>
        </w:rPr>
        <w:t>研讨与作业</w:t>
      </w:r>
    </w:p>
    <w:p>
      <w:pPr>
        <w:pStyle w:val="6"/>
        <w:numPr>
          <w:ilvl w:val="0"/>
          <w:numId w:val="0"/>
        </w:numPr>
        <w:adjustRightInd w:val="0"/>
        <w:snapToGrid w:val="0"/>
        <w:spacing w:line="300" w:lineRule="auto"/>
        <w:ind w:left="840" w:leftChars="0"/>
        <w:rPr>
          <w:rFonts w:ascii="微软雅黑" w:hAnsi="微软雅黑" w:eastAsia="微软雅黑"/>
        </w:rPr>
      </w:pPr>
      <w:r>
        <w:rPr>
          <w:rFonts w:hint="eastAsia" w:ascii="微软雅黑" w:hAnsi="微软雅黑" w:eastAsia="微软雅黑"/>
          <w:lang w:val="en-US" w:eastAsia="zh-CN"/>
        </w:rPr>
        <w:t>第七节：</w:t>
      </w:r>
      <w:r>
        <w:rPr>
          <w:rFonts w:hint="eastAsia" w:ascii="微软雅黑" w:hAnsi="微软雅黑" w:eastAsia="微软雅黑"/>
        </w:rPr>
        <w:t>善后期要点（简</w:t>
      </w:r>
      <w:r>
        <w:rPr>
          <w:rFonts w:hint="eastAsia" w:ascii="微软雅黑" w:hAnsi="微软雅黑" w:eastAsia="微软雅黑"/>
          <w:lang w:eastAsia="zh-CN"/>
        </w:rPr>
        <w:t>，</w:t>
      </w:r>
      <w:r>
        <w:rPr>
          <w:rFonts w:hint="eastAsia" w:ascii="微软雅黑" w:hAnsi="微软雅黑" w:eastAsia="微软雅黑"/>
          <w:b/>
          <w:bCs/>
          <w:lang w:val="en-US" w:eastAsia="zh-CN"/>
        </w:rPr>
        <w:t>约10分钟</w:t>
      </w:r>
      <w:r>
        <w:rPr>
          <w:rFonts w:hint="eastAsia" w:ascii="微软雅黑" w:hAnsi="微软雅黑" w:eastAsia="微软雅黑"/>
        </w:rPr>
        <w:t>）</w:t>
      </w:r>
    </w:p>
    <w:p>
      <w:pPr>
        <w:pStyle w:val="6"/>
        <w:numPr>
          <w:ilvl w:val="1"/>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客户风险管理的体系化建设（</w:t>
      </w:r>
      <w:r>
        <w:rPr>
          <w:rFonts w:hint="eastAsia" w:ascii="微软雅黑" w:hAnsi="微软雅黑" w:eastAsia="微软雅黑"/>
          <w:b/>
          <w:bCs/>
          <w:lang w:val="en-US" w:eastAsia="zh-CN"/>
        </w:rPr>
        <w:t>约30分钟</w:t>
      </w:r>
      <w:r>
        <w:rPr>
          <w:rFonts w:hint="eastAsia" w:ascii="微软雅黑" w:hAnsi="微软雅黑" w:eastAsia="微软雅黑"/>
          <w:b/>
          <w:bCs/>
        </w:rPr>
        <w:t>）</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“交房即维权！”发出什么信号？</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危机背后的数据：海恩法则</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投诉与危机管理的最佳方法是预防</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营销竞争的本质？</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追求“满意度”已经O</w:t>
      </w:r>
      <w:r>
        <w:rPr>
          <w:rFonts w:ascii="微软雅黑" w:hAnsi="微软雅黑" w:eastAsia="微软雅黑"/>
        </w:rPr>
        <w:t>UT</w:t>
      </w:r>
      <w:r>
        <w:rPr>
          <w:rFonts w:hint="eastAsia" w:ascii="微软雅黑" w:hAnsi="微软雅黑" w:eastAsia="微软雅黑"/>
        </w:rPr>
        <w:t>了：房地产经营管理的成果与逻辑？</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从被动到主动：企业客服（危机）管理系统的发展现状与趋势</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地产客服（与风险管理）体系概要</w:t>
      </w:r>
      <w:bookmarkStart w:id="0" w:name="_GoBack"/>
      <w:bookmarkEnd w:id="0"/>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结语</w:t>
      </w:r>
    </w:p>
    <w:p>
      <w:pPr>
        <w:pStyle w:val="6"/>
        <w:spacing w:line="276" w:lineRule="auto"/>
        <w:ind w:left="840" w:firstLine="0" w:firstLineChars="0"/>
        <w:rPr>
          <w:rFonts w:ascii="微软雅黑" w:hAnsi="微软雅黑" w:eastAsia="微软雅黑"/>
        </w:rPr>
      </w:pPr>
    </w:p>
    <w:p>
      <w:pPr>
        <w:spacing w:line="276" w:lineRule="auto"/>
        <w:rPr>
          <w:rFonts w:ascii="微软雅黑" w:hAnsi="微软雅黑" w:eastAsia="微软雅黑"/>
        </w:rPr>
      </w:pPr>
    </w:p>
    <w:sectPr>
      <w:pgSz w:w="11906" w:h="16838"/>
      <w:pgMar w:top="1134" w:right="1133"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B90B3E"/>
    <w:multiLevelType w:val="singleLevel"/>
    <w:tmpl w:val="85B90B3E"/>
    <w:lvl w:ilvl="0" w:tentative="0">
      <w:start w:val="1"/>
      <w:numFmt w:val="decimal"/>
      <w:lvlText w:val="%1."/>
      <w:lvlJc w:val="left"/>
      <w:pPr>
        <w:tabs>
          <w:tab w:val="left" w:pos="1260"/>
        </w:tabs>
        <w:ind w:left="1685" w:hanging="425"/>
      </w:pPr>
      <w:rPr>
        <w:rFonts w:hint="default"/>
      </w:rPr>
    </w:lvl>
  </w:abstractNum>
  <w:abstractNum w:abstractNumId="1">
    <w:nsid w:val="B10C2695"/>
    <w:multiLevelType w:val="singleLevel"/>
    <w:tmpl w:val="B10C2695"/>
    <w:lvl w:ilvl="0" w:tentative="0">
      <w:start w:val="1"/>
      <w:numFmt w:val="decimal"/>
      <w:lvlText w:val="%1."/>
      <w:lvlJc w:val="left"/>
      <w:pPr>
        <w:tabs>
          <w:tab w:val="left" w:pos="1260"/>
        </w:tabs>
        <w:ind w:left="1685" w:hanging="425"/>
      </w:pPr>
      <w:rPr>
        <w:rFonts w:hint="default"/>
      </w:rPr>
    </w:lvl>
  </w:abstractNum>
  <w:abstractNum w:abstractNumId="2">
    <w:nsid w:val="BB3D8683"/>
    <w:multiLevelType w:val="singleLevel"/>
    <w:tmpl w:val="BB3D8683"/>
    <w:lvl w:ilvl="0" w:tentative="0">
      <w:start w:val="1"/>
      <w:numFmt w:val="decimal"/>
      <w:lvlText w:val="%1."/>
      <w:lvlJc w:val="left"/>
      <w:pPr>
        <w:tabs>
          <w:tab w:val="left" w:pos="1260"/>
        </w:tabs>
        <w:ind w:left="1685" w:hanging="425"/>
      </w:pPr>
      <w:rPr>
        <w:rFonts w:hint="default"/>
      </w:rPr>
    </w:lvl>
  </w:abstractNum>
  <w:abstractNum w:abstractNumId="3">
    <w:nsid w:val="DAA20356"/>
    <w:multiLevelType w:val="singleLevel"/>
    <w:tmpl w:val="DAA20356"/>
    <w:lvl w:ilvl="0" w:tentative="0">
      <w:start w:val="1"/>
      <w:numFmt w:val="decimal"/>
      <w:lvlText w:val="%1."/>
      <w:lvlJc w:val="left"/>
      <w:pPr>
        <w:tabs>
          <w:tab w:val="left" w:pos="1260"/>
        </w:tabs>
        <w:ind w:left="1685" w:hanging="425"/>
      </w:pPr>
      <w:rPr>
        <w:rFonts w:hint="default"/>
      </w:rPr>
    </w:lvl>
  </w:abstractNum>
  <w:abstractNum w:abstractNumId="4">
    <w:nsid w:val="EA60A0DE"/>
    <w:multiLevelType w:val="singleLevel"/>
    <w:tmpl w:val="EA60A0DE"/>
    <w:lvl w:ilvl="0" w:tentative="0">
      <w:start w:val="1"/>
      <w:numFmt w:val="decimal"/>
      <w:lvlText w:val="%1)"/>
      <w:lvlJc w:val="left"/>
      <w:pPr>
        <w:tabs>
          <w:tab w:val="left" w:pos="1680"/>
        </w:tabs>
        <w:ind w:left="2105" w:hanging="425"/>
      </w:pPr>
      <w:rPr>
        <w:rFonts w:hint="default"/>
      </w:rPr>
    </w:lvl>
  </w:abstractNum>
  <w:abstractNum w:abstractNumId="5">
    <w:nsid w:val="EF3423F8"/>
    <w:multiLevelType w:val="singleLevel"/>
    <w:tmpl w:val="EF3423F8"/>
    <w:lvl w:ilvl="0" w:tentative="0">
      <w:start w:val="1"/>
      <w:numFmt w:val="decimal"/>
      <w:lvlText w:val="%1."/>
      <w:lvlJc w:val="left"/>
      <w:pPr>
        <w:tabs>
          <w:tab w:val="left" w:pos="1260"/>
        </w:tabs>
        <w:ind w:left="1685" w:hanging="425"/>
      </w:pPr>
      <w:rPr>
        <w:rFonts w:hint="default"/>
      </w:rPr>
    </w:lvl>
  </w:abstractNum>
  <w:abstractNum w:abstractNumId="6">
    <w:nsid w:val="F10BEF6A"/>
    <w:multiLevelType w:val="singleLevel"/>
    <w:tmpl w:val="F10BEF6A"/>
    <w:lvl w:ilvl="0" w:tentative="0">
      <w:start w:val="1"/>
      <w:numFmt w:val="decimal"/>
      <w:lvlText w:val="%1)"/>
      <w:lvlJc w:val="left"/>
      <w:pPr>
        <w:tabs>
          <w:tab w:val="left" w:pos="1680"/>
        </w:tabs>
        <w:ind w:left="2105" w:hanging="425"/>
      </w:pPr>
      <w:rPr>
        <w:rFonts w:hint="default"/>
      </w:rPr>
    </w:lvl>
  </w:abstractNum>
  <w:abstractNum w:abstractNumId="7">
    <w:nsid w:val="34DC9F4A"/>
    <w:multiLevelType w:val="singleLevel"/>
    <w:tmpl w:val="34DC9F4A"/>
    <w:lvl w:ilvl="0" w:tentative="0">
      <w:start w:val="1"/>
      <w:numFmt w:val="decimal"/>
      <w:lvlText w:val="%1."/>
      <w:lvlJc w:val="left"/>
      <w:pPr>
        <w:tabs>
          <w:tab w:val="left" w:pos="1260"/>
        </w:tabs>
        <w:ind w:left="1685" w:hanging="425"/>
      </w:pPr>
      <w:rPr>
        <w:rFonts w:hint="default"/>
      </w:rPr>
    </w:lvl>
  </w:abstractNum>
  <w:abstractNum w:abstractNumId="8">
    <w:nsid w:val="5FA50F2F"/>
    <w:multiLevelType w:val="multilevel"/>
    <w:tmpl w:val="5FA50F2F"/>
    <w:lvl w:ilvl="0" w:tentative="0">
      <w:start w:val="1"/>
      <w:numFmt w:val="chineseCountingThousand"/>
      <w:lvlText w:val="%1、"/>
      <w:lvlJc w:val="left"/>
      <w:pPr>
        <w:ind w:left="420" w:hanging="420"/>
      </w:pPr>
    </w:lvl>
    <w:lvl w:ilvl="1" w:tentative="0">
      <w:start w:val="1"/>
      <w:numFmt w:val="chineseCountingThousand"/>
      <w:lvlText w:val="(%2)"/>
      <w:lvlJc w:val="left"/>
      <w:pPr>
        <w:ind w:left="840" w:hanging="420"/>
      </w:pPr>
    </w:lvl>
    <w:lvl w:ilvl="2" w:tentative="0">
      <w:start w:val="1"/>
      <w:numFmt w:val="decimal"/>
      <w:lvlText w:val="%3."/>
      <w:lvlJc w:val="left"/>
      <w:pPr>
        <w:ind w:left="1260" w:hanging="420"/>
      </w:pPr>
    </w:lvl>
    <w:lvl w:ilvl="3" w:tentative="0">
      <w:start w:val="1"/>
      <w:numFmt w:val="decimal"/>
      <w:lvlText w:val="%4)"/>
      <w:lvlJc w:val="left"/>
      <w:pPr>
        <w:ind w:left="126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8"/>
  </w:num>
  <w:num w:numId="2">
    <w:abstractNumId w:val="7"/>
  </w:num>
  <w:num w:numId="3">
    <w:abstractNumId w:val="1"/>
  </w:num>
  <w:num w:numId="4">
    <w:abstractNumId w:val="0"/>
  </w:num>
  <w:num w:numId="5">
    <w:abstractNumId w:val="2"/>
  </w:num>
  <w:num w:numId="6">
    <w:abstractNumId w:val="4"/>
  </w:num>
  <w:num w:numId="7">
    <w:abstractNumId w:val="3"/>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QyZTE5ZmQxMGI0OGRhOWJkNTg0MmNhNDMxZWFhZjYifQ=="/>
  </w:docVars>
  <w:rsids>
    <w:rsidRoot w:val="00B45374"/>
    <w:rsid w:val="00011366"/>
    <w:rsid w:val="00026DA1"/>
    <w:rsid w:val="00033B12"/>
    <w:rsid w:val="00087583"/>
    <w:rsid w:val="000A2F71"/>
    <w:rsid w:val="00103D2D"/>
    <w:rsid w:val="00126BA1"/>
    <w:rsid w:val="00157129"/>
    <w:rsid w:val="00165B0D"/>
    <w:rsid w:val="00180185"/>
    <w:rsid w:val="002410E4"/>
    <w:rsid w:val="00284641"/>
    <w:rsid w:val="002B5B95"/>
    <w:rsid w:val="002C2E28"/>
    <w:rsid w:val="00332339"/>
    <w:rsid w:val="00391DE1"/>
    <w:rsid w:val="003C1FE0"/>
    <w:rsid w:val="003F5038"/>
    <w:rsid w:val="004038B4"/>
    <w:rsid w:val="0041243C"/>
    <w:rsid w:val="004642D4"/>
    <w:rsid w:val="004A57F3"/>
    <w:rsid w:val="004B25AB"/>
    <w:rsid w:val="004B5C0F"/>
    <w:rsid w:val="004C0FA6"/>
    <w:rsid w:val="00504060"/>
    <w:rsid w:val="005249D7"/>
    <w:rsid w:val="00542D0D"/>
    <w:rsid w:val="0054475B"/>
    <w:rsid w:val="00552DCA"/>
    <w:rsid w:val="00563FAA"/>
    <w:rsid w:val="00596C7C"/>
    <w:rsid w:val="006241ED"/>
    <w:rsid w:val="00631791"/>
    <w:rsid w:val="006432CB"/>
    <w:rsid w:val="00680F10"/>
    <w:rsid w:val="006976CA"/>
    <w:rsid w:val="006D5D9E"/>
    <w:rsid w:val="006D7CA7"/>
    <w:rsid w:val="006D7E9B"/>
    <w:rsid w:val="007540D0"/>
    <w:rsid w:val="00762B87"/>
    <w:rsid w:val="00791C97"/>
    <w:rsid w:val="007C16CF"/>
    <w:rsid w:val="00802E50"/>
    <w:rsid w:val="00822C66"/>
    <w:rsid w:val="00837955"/>
    <w:rsid w:val="00844092"/>
    <w:rsid w:val="008519EF"/>
    <w:rsid w:val="008B7FBF"/>
    <w:rsid w:val="008C7540"/>
    <w:rsid w:val="009008CA"/>
    <w:rsid w:val="00987D23"/>
    <w:rsid w:val="00993583"/>
    <w:rsid w:val="009F2696"/>
    <w:rsid w:val="00A056D0"/>
    <w:rsid w:val="00A302BE"/>
    <w:rsid w:val="00A934D3"/>
    <w:rsid w:val="00B1403F"/>
    <w:rsid w:val="00B45374"/>
    <w:rsid w:val="00B5647B"/>
    <w:rsid w:val="00B8079C"/>
    <w:rsid w:val="00B94C15"/>
    <w:rsid w:val="00BB46FE"/>
    <w:rsid w:val="00BE0978"/>
    <w:rsid w:val="00C13927"/>
    <w:rsid w:val="00C21E8F"/>
    <w:rsid w:val="00C57682"/>
    <w:rsid w:val="00C74A5F"/>
    <w:rsid w:val="00CA0018"/>
    <w:rsid w:val="00CD03D1"/>
    <w:rsid w:val="00CD7EF5"/>
    <w:rsid w:val="00CE7B2F"/>
    <w:rsid w:val="00DB5D95"/>
    <w:rsid w:val="00DD64FB"/>
    <w:rsid w:val="00E11638"/>
    <w:rsid w:val="00E15F39"/>
    <w:rsid w:val="00E31CDE"/>
    <w:rsid w:val="00E55AF6"/>
    <w:rsid w:val="00E55BB7"/>
    <w:rsid w:val="00E72429"/>
    <w:rsid w:val="00EB096F"/>
    <w:rsid w:val="00EC488A"/>
    <w:rsid w:val="00EE50CF"/>
    <w:rsid w:val="00EF7EA3"/>
    <w:rsid w:val="00F64501"/>
    <w:rsid w:val="00F6531A"/>
    <w:rsid w:val="00FC3E74"/>
    <w:rsid w:val="00FD5E29"/>
    <w:rsid w:val="0D944456"/>
    <w:rsid w:val="184429AB"/>
    <w:rsid w:val="1A962F66"/>
    <w:rsid w:val="215F74EC"/>
    <w:rsid w:val="309A5D1E"/>
    <w:rsid w:val="3E13168A"/>
    <w:rsid w:val="475F7B6C"/>
    <w:rsid w:val="480E63C5"/>
    <w:rsid w:val="4EA035FC"/>
    <w:rsid w:val="51556CF5"/>
    <w:rsid w:val="5A2C06DB"/>
    <w:rsid w:val="65EE47FE"/>
    <w:rsid w:val="672F3320"/>
    <w:rsid w:val="75735E85"/>
    <w:rsid w:val="79D05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1653</Words>
  <Characters>1673</Characters>
  <Lines>30</Lines>
  <Paragraphs>8</Paragraphs>
  <TotalTime>8</TotalTime>
  <ScaleCrop>false</ScaleCrop>
  <LinksUpToDate>false</LinksUpToDate>
  <CharactersWithSpaces>1691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2022-03-09T05:57:00Z</dcterms:created>
  <dc:creator>孙凡12508359518</dc:creator>
  <cp:lastModifiedBy>孙凡</cp:lastModifiedBy>
  <dcterms:modified xsi:type="dcterms:W3CDTF">2023-08-29T06:33:03Z</dcterms:modified>
  <dc:title>群诉及舆情危机应对策略与方法解析</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53B549C9D728483182A8E4CA7218B31F</vt:lpwstr>
  </property>
</Properties>
</file>