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after="156" w:afterLines="50"/>
        <w:rPr>
          <w:rFonts w:hint="eastAsia" w:ascii="微软雅黑" w:hAnsi="微软雅黑" w:eastAsia="微软雅黑" w:cs="微软雅黑"/>
          <w:bCs/>
          <w:color w:val="C00000"/>
          <w:sz w:val="20"/>
          <w:szCs w:val="20"/>
        </w:rPr>
      </w:pPr>
      <w:r>
        <w:rPr>
          <w:rFonts w:hint="eastAsia" w:ascii="微软雅黑" w:hAnsi="微软雅黑" w:eastAsia="微软雅黑" w:cs="微软雅黑"/>
          <w:bCs/>
          <w:color w:val="C00000"/>
          <w:sz w:val="20"/>
          <w:szCs w:val="20"/>
        </w:rPr>
        <w:t>系统化全</w:t>
      </w:r>
      <w:r>
        <w:rPr>
          <w:rFonts w:hint="eastAsia" w:ascii="微软雅黑" w:hAnsi="微软雅黑" w:eastAsia="微软雅黑" w:cs="微软雅黑"/>
          <w:bCs/>
          <w:color w:val="C00000"/>
          <w:sz w:val="20"/>
          <w:szCs w:val="20"/>
          <w:lang w:val="en-US" w:eastAsia="zh-CN"/>
        </w:rPr>
        <w:t>维度</w:t>
      </w:r>
      <w:r>
        <w:rPr>
          <w:rFonts w:hint="eastAsia" w:ascii="微软雅黑" w:hAnsi="微软雅黑" w:eastAsia="微软雅黑" w:cs="微软雅黑"/>
          <w:bCs/>
          <w:color w:val="C00000"/>
          <w:sz w:val="20"/>
          <w:szCs w:val="20"/>
        </w:rPr>
        <w:t>交房组织及纠纷应对管理主题课程</w:t>
      </w:r>
    </w:p>
    <w:p>
      <w:pPr>
        <w:adjustRightInd w:val="0"/>
        <w:snapToGrid w:val="0"/>
        <w:spacing w:before="156" w:beforeLines="50" w:after="156" w:afterLines="50"/>
        <w:rPr>
          <w:rFonts w:hint="eastAsia" w:ascii="微软雅黑" w:hAnsi="微软雅黑" w:eastAsia="微软雅黑" w:cs="微软雅黑"/>
          <w:bCs/>
          <w:color w:val="C00000"/>
          <w:sz w:val="20"/>
          <w:szCs w:val="20"/>
        </w:rPr>
      </w:pPr>
      <w:r>
        <w:rPr>
          <w:rFonts w:hint="eastAsia" w:ascii="微软雅黑" w:hAnsi="微软雅黑" w:eastAsia="微软雅黑" w:cs="微软雅黑"/>
          <w:bCs/>
          <w:color w:val="C00000"/>
          <w:sz w:val="20"/>
          <w:szCs w:val="20"/>
        </w:rPr>
        <w:t>适合全体地产干部学习的交房管理课程</w:t>
      </w:r>
    </w:p>
    <w:p>
      <w:pPr>
        <w:adjustRightInd w:val="0"/>
        <w:snapToGrid w:val="0"/>
        <w:spacing w:before="156" w:beforeLines="50" w:after="156" w:afterLines="50"/>
        <w:rPr>
          <w:rFonts w:hint="eastAsia" w:ascii="微软雅黑" w:hAnsi="微软雅黑" w:eastAsia="微软雅黑" w:cs="微软雅黑"/>
          <w:bCs/>
          <w:color w:val="C00000"/>
          <w:sz w:val="20"/>
          <w:szCs w:val="20"/>
        </w:rPr>
      </w:pPr>
      <w:r>
        <w:rPr>
          <w:rFonts w:hint="eastAsia" w:ascii="微软雅黑" w:hAnsi="微软雅黑" w:eastAsia="微软雅黑" w:cs="微软雅黑"/>
          <w:bCs/>
          <w:color w:val="C00000"/>
          <w:sz w:val="20"/>
          <w:szCs w:val="20"/>
        </w:rPr>
        <w:t>不仅解析交房组织与纠纷应对能力技巧，更致力于促进地产管理服务的整体提升</w:t>
      </w: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240" w:lineRule="auto"/>
        <w:jc w:val="center"/>
        <w:textAlignment w:val="auto"/>
        <w:rPr>
          <w:rFonts w:hint="default" w:ascii="微软雅黑" w:hAnsi="微软雅黑" w:eastAsia="微软雅黑" w:cs="微软雅黑"/>
          <w:b/>
          <w:color w:val="C00000"/>
          <w:sz w:val="40"/>
          <w:szCs w:val="40"/>
          <w:lang w:val="en-US" w:eastAsia="zh-CN"/>
        </w:rPr>
      </w:pPr>
      <w:r>
        <w:rPr>
          <w:rFonts w:hint="eastAsia" w:ascii="微软雅黑" w:hAnsi="微软雅黑" w:eastAsia="微软雅黑" w:cs="微软雅黑"/>
          <w:b/>
          <w:color w:val="C00000"/>
          <w:sz w:val="40"/>
          <w:szCs w:val="40"/>
          <w:lang w:val="en-US" w:eastAsia="zh-CN"/>
        </w:rPr>
        <w:t>以交房为契机促进地产管理服务全面改善</w:t>
      </w: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240" w:lineRule="auto"/>
        <w:jc w:val="center"/>
        <w:textAlignment w:val="auto"/>
        <w:rPr>
          <w:rFonts w:hint="default" w:ascii="微软雅黑" w:hAnsi="微软雅黑" w:eastAsia="微软雅黑" w:cs="微软雅黑"/>
          <w:b/>
          <w:color w:val="C00000"/>
          <w:sz w:val="32"/>
          <w:szCs w:val="32"/>
          <w:lang w:val="en-US" w:eastAsia="zh-CN"/>
        </w:rPr>
      </w:pPr>
      <w:r>
        <w:rPr>
          <w:rFonts w:hint="eastAsia" w:ascii="微软雅黑" w:hAnsi="微软雅黑" w:eastAsia="微软雅黑" w:cs="微软雅黑"/>
          <w:b/>
          <w:color w:val="C00000"/>
          <w:sz w:val="32"/>
          <w:szCs w:val="32"/>
          <w:lang w:val="en-US" w:eastAsia="zh-CN"/>
        </w:rPr>
        <w:t>--</w:t>
      </w:r>
      <w:r>
        <w:rPr>
          <w:rFonts w:hint="eastAsia" w:ascii="微软雅黑" w:hAnsi="微软雅黑" w:eastAsia="微软雅黑" w:cs="微软雅黑"/>
          <w:b/>
          <w:color w:val="C00000"/>
          <w:sz w:val="32"/>
          <w:szCs w:val="32"/>
        </w:rPr>
        <w:t>交房精细化组织执行与交房群诉纠纷应对</w:t>
      </w:r>
      <w:r>
        <w:rPr>
          <w:rFonts w:hint="eastAsia" w:ascii="微软雅黑" w:hAnsi="微软雅黑" w:eastAsia="微软雅黑" w:cs="微软雅黑"/>
          <w:b/>
          <w:color w:val="C00000"/>
          <w:sz w:val="32"/>
          <w:szCs w:val="32"/>
          <w:lang w:val="en-US" w:eastAsia="zh-CN"/>
        </w:rPr>
        <w:t>---</w:t>
      </w:r>
    </w:p>
    <w:p>
      <w:pPr>
        <w:adjustRightInd w:val="0"/>
        <w:spacing w:before="156" w:beforeLines="50" w:after="156" w:afterLines="50" w:line="240" w:lineRule="auto"/>
        <w:jc w:val="center"/>
        <w:rPr>
          <w:rFonts w:hint="eastAsia" w:ascii="微软雅黑" w:hAnsi="微软雅黑" w:eastAsia="微软雅黑" w:cs="微软雅黑"/>
          <w:b/>
          <w:color w:val="auto"/>
          <w:sz w:val="20"/>
          <w:szCs w:val="20"/>
          <w:lang w:val="en-US" w:eastAsia="zh-CN"/>
        </w:rPr>
      </w:pPr>
      <w:r>
        <w:rPr>
          <w:rFonts w:hint="eastAsia" w:ascii="微软雅黑" w:hAnsi="微软雅黑" w:eastAsia="微软雅黑" w:cs="微软雅黑"/>
          <w:b/>
          <w:color w:val="auto"/>
          <w:sz w:val="20"/>
          <w:szCs w:val="20"/>
          <w:lang w:val="en-US" w:eastAsia="zh-CN"/>
        </w:rPr>
        <w:t>（202304修订）</w:t>
      </w:r>
    </w:p>
    <w:p>
      <w:pPr>
        <w:numPr>
          <w:ilvl w:val="0"/>
          <w:numId w:val="1"/>
        </w:numPr>
        <w:adjustRightInd w:val="0"/>
        <w:snapToGrid w:val="0"/>
        <w:spacing w:line="300" w:lineRule="auto"/>
        <w:rPr>
          <w:rFonts w:hint="eastAsia" w:ascii="微软雅黑" w:hAnsi="微软雅黑" w:eastAsia="微软雅黑" w:cs="微软雅黑"/>
          <w:b/>
          <w:sz w:val="24"/>
        </w:rPr>
      </w:pPr>
      <w:r>
        <w:rPr>
          <w:rFonts w:hint="eastAsia" w:ascii="微软雅黑" w:hAnsi="微软雅黑" w:eastAsia="微软雅黑" w:cs="微软雅黑"/>
          <w:b/>
          <w:sz w:val="24"/>
        </w:rPr>
        <w:t>课程背景</w:t>
      </w:r>
    </w:p>
    <w:p>
      <w:pPr>
        <w:adjustRightInd w:val="0"/>
        <w:snapToGrid w:val="0"/>
        <w:spacing w:line="300" w:lineRule="auto"/>
        <w:ind w:firstLine="420" w:firstLineChars="200"/>
        <w:rPr>
          <w:rFonts w:hint="eastAsia" w:ascii="微软雅黑" w:hAnsi="微软雅黑" w:eastAsia="微软雅黑" w:cs="微软雅黑"/>
          <w:szCs w:val="21"/>
        </w:rPr>
      </w:pPr>
      <w:r>
        <w:rPr>
          <w:rFonts w:hint="eastAsia" w:ascii="微软雅黑" w:hAnsi="微软雅黑" w:eastAsia="微软雅黑" w:cs="微软雅黑"/>
          <w:szCs w:val="21"/>
        </w:rPr>
        <w:t>疫情压力之下，经济形势持续恶化，客户购房、接房意愿持续降低，房企面临生死大劫，与客户之间围绕购房、交房的群诉冲突(尤其在交房阶段)呈明显上升趋势。交房不仅牵涉项目成败、也影响企业品牌形象，社会的安定和谐，备受行业、客户、社会的关注。</w:t>
      </w:r>
    </w:p>
    <w:p>
      <w:pPr>
        <w:adjustRightInd w:val="0"/>
        <w:snapToGrid w:val="0"/>
        <w:spacing w:line="300" w:lineRule="auto"/>
        <w:ind w:firstLine="420" w:firstLineChars="200"/>
        <w:rPr>
          <w:rFonts w:hint="eastAsia" w:ascii="微软雅黑" w:hAnsi="微软雅黑" w:eastAsia="微软雅黑" w:cs="微软雅黑"/>
          <w:szCs w:val="21"/>
        </w:rPr>
      </w:pPr>
      <w:r>
        <w:rPr>
          <w:rFonts w:hint="eastAsia" w:ascii="微软雅黑" w:hAnsi="微软雅黑" w:eastAsia="微软雅黑" w:cs="微软雅黑"/>
          <w:szCs w:val="21"/>
        </w:rPr>
        <w:t>如何科学策划交房方案？如何有效预控、应对交房群诉纠纷或冲突？如何系统化减少交房风险，提升客户满意度，……成为房企的必修课题！</w:t>
      </w:r>
    </w:p>
    <w:p>
      <w:pPr>
        <w:adjustRightInd w:val="0"/>
        <w:snapToGrid w:val="0"/>
        <w:spacing w:line="300" w:lineRule="auto"/>
        <w:ind w:firstLine="420" w:firstLineChars="200"/>
        <w:rPr>
          <w:rFonts w:hint="eastAsia" w:ascii="微软雅黑" w:hAnsi="微软雅黑" w:eastAsia="微软雅黑" w:cs="微软雅黑"/>
          <w:szCs w:val="21"/>
        </w:rPr>
      </w:pPr>
      <w:r>
        <w:rPr>
          <w:rFonts w:hint="eastAsia" w:ascii="微软雅黑" w:hAnsi="微软雅黑" w:eastAsia="微软雅黑" w:cs="微软雅黑"/>
          <w:szCs w:val="21"/>
        </w:rPr>
        <w:t>面对挑战，一些企业走入了误区：他们仅仅关注“纠纷的应对处置”，尤其 “期望用精妙的话术搞定顾客，把有明显瑕疵、与销售承诺有巨大落差的房屋交付给客户，而企业不用付出任何代价！”，这样的想法和做法明显与“客户为主导”的社会经济发展趋势、与市场竞争潮流相抵触，也必然会让企业遭受客户、舆论的持续“攻击”，引发企业的品牌信任危机，危及企业的长远发展。</w:t>
      </w:r>
    </w:p>
    <w:p>
      <w:pPr>
        <w:adjustRightInd w:val="0"/>
        <w:snapToGrid w:val="0"/>
        <w:spacing w:line="300" w:lineRule="auto"/>
        <w:ind w:firstLine="420" w:firstLineChars="200"/>
        <w:rPr>
          <w:rFonts w:hint="eastAsia" w:ascii="微软雅黑" w:hAnsi="微软雅黑" w:eastAsia="微软雅黑" w:cs="微软雅黑"/>
          <w:szCs w:val="21"/>
        </w:rPr>
      </w:pPr>
      <w:r>
        <w:rPr>
          <w:rFonts w:hint="eastAsia" w:ascii="微软雅黑" w:hAnsi="微软雅黑" w:eastAsia="微软雅黑" w:cs="微软雅黑"/>
          <w:szCs w:val="21"/>
        </w:rPr>
        <w:t>孙凡老师总结行业经验教训，提出：房地产企业要从项目的全生命周期、企业的全职能角度，重新审视“交房工作”，不仅把交房组织策划执行作为阶段工作重点，更要作为促进地产整个管理服务的全面改善的契机，实现企业的可持续竞争力和品牌影响力提升。</w:t>
      </w:r>
    </w:p>
    <w:p>
      <w:pPr>
        <w:adjustRightInd w:val="0"/>
        <w:snapToGrid w:val="0"/>
        <w:spacing w:line="300" w:lineRule="auto"/>
        <w:ind w:firstLine="420" w:firstLineChars="200"/>
        <w:rPr>
          <w:rFonts w:hint="eastAsia" w:ascii="微软雅黑" w:hAnsi="微软雅黑" w:eastAsia="微软雅黑" w:cs="微软雅黑"/>
          <w:szCs w:val="21"/>
        </w:rPr>
      </w:pPr>
    </w:p>
    <w:p>
      <w:pPr>
        <w:numPr>
          <w:ilvl w:val="0"/>
          <w:numId w:val="1"/>
        </w:numPr>
        <w:adjustRightInd w:val="0"/>
        <w:snapToGrid w:val="0"/>
        <w:spacing w:line="300" w:lineRule="auto"/>
        <w:rPr>
          <w:rFonts w:hint="eastAsia" w:ascii="微软雅黑" w:hAnsi="微软雅黑" w:eastAsia="微软雅黑" w:cs="微软雅黑"/>
          <w:b/>
          <w:sz w:val="24"/>
        </w:rPr>
      </w:pPr>
      <w:r>
        <w:rPr>
          <w:rFonts w:hint="eastAsia" w:ascii="微软雅黑" w:hAnsi="微软雅黑" w:eastAsia="微软雅黑" w:cs="微软雅黑"/>
          <w:b/>
          <w:sz w:val="24"/>
        </w:rPr>
        <w:t>课程内容及目的</w:t>
      </w:r>
    </w:p>
    <w:p>
      <w:pPr>
        <w:adjustRightInd w:val="0"/>
        <w:snapToGrid w:val="0"/>
        <w:spacing w:line="300" w:lineRule="auto"/>
        <w:ind w:left="359" w:leftChars="171" w:firstLine="420" w:firstLineChars="200"/>
        <w:rPr>
          <w:rFonts w:hint="eastAsia" w:ascii="微软雅黑" w:hAnsi="微软雅黑" w:eastAsia="微软雅黑" w:cs="微软雅黑"/>
          <w:szCs w:val="21"/>
        </w:rPr>
      </w:pPr>
      <w:r>
        <w:rPr>
          <w:rFonts w:hint="eastAsia" w:ascii="微软雅黑" w:hAnsi="微软雅黑" w:eastAsia="微软雅黑" w:cs="微软雅黑"/>
          <w:szCs w:val="21"/>
        </w:rPr>
        <w:t>以标杆企业交房精细化策划、组织流程及应对群诉纠纷冲突的实际案例，剖析交房成败规律，指明行业普遍存在的误区。不仅针对群诉纠纷危机本身的应对处置，更</w:t>
      </w:r>
      <w:r>
        <w:rPr>
          <w:rFonts w:hint="eastAsia" w:ascii="微软雅黑" w:hAnsi="微软雅黑" w:eastAsia="微软雅黑" w:cs="微软雅黑"/>
          <w:szCs w:val="21"/>
          <w:lang w:val="en-US" w:eastAsia="zh-CN"/>
        </w:rPr>
        <w:t>注重</w:t>
      </w:r>
      <w:r>
        <w:rPr>
          <w:rFonts w:hint="eastAsia" w:ascii="微软雅黑" w:hAnsi="微软雅黑" w:eastAsia="微软雅黑" w:cs="微软雅黑"/>
          <w:szCs w:val="21"/>
        </w:rPr>
        <w:t>引导企业转变思路观念，开阔视野，从企业品牌建设、项目全程开发的全局思考客户关系的管理、地产开发风险管控，以客户满意为导向，妥善预控处置危机并通过服务改善管理、化危为机，实现逆势成长！</w:t>
      </w:r>
    </w:p>
    <w:p>
      <w:pPr>
        <w:adjustRightInd w:val="0"/>
        <w:snapToGrid w:val="0"/>
        <w:spacing w:line="300" w:lineRule="auto"/>
        <w:ind w:left="359" w:leftChars="171" w:firstLine="420" w:firstLineChars="200"/>
        <w:rPr>
          <w:rFonts w:hint="eastAsia" w:ascii="微软雅黑" w:hAnsi="微软雅黑" w:eastAsia="微软雅黑" w:cs="微软雅黑"/>
          <w:szCs w:val="21"/>
        </w:rPr>
      </w:pPr>
    </w:p>
    <w:p>
      <w:pPr>
        <w:numPr>
          <w:ilvl w:val="0"/>
          <w:numId w:val="1"/>
        </w:numPr>
        <w:adjustRightInd w:val="0"/>
        <w:snapToGrid w:val="0"/>
        <w:spacing w:line="300" w:lineRule="auto"/>
        <w:rPr>
          <w:rFonts w:hint="eastAsia" w:ascii="微软雅黑" w:hAnsi="微软雅黑" w:eastAsia="微软雅黑" w:cs="微软雅黑"/>
          <w:b/>
          <w:sz w:val="24"/>
        </w:rPr>
      </w:pPr>
      <w:r>
        <w:rPr>
          <w:rFonts w:hint="eastAsia" w:ascii="微软雅黑" w:hAnsi="微软雅黑" w:eastAsia="微软雅黑" w:cs="微软雅黑"/>
          <w:b/>
          <w:sz w:val="24"/>
        </w:rPr>
        <w:t>课程适应群体</w:t>
      </w:r>
    </w:p>
    <w:p>
      <w:pPr>
        <w:adjustRightInd w:val="0"/>
        <w:snapToGrid w:val="0"/>
        <w:spacing w:line="300" w:lineRule="auto"/>
        <w:ind w:left="420"/>
        <w:rPr>
          <w:rFonts w:hint="eastAsia" w:ascii="微软雅黑" w:hAnsi="微软雅黑" w:eastAsia="微软雅黑" w:cs="微软雅黑"/>
          <w:szCs w:val="21"/>
        </w:rPr>
      </w:pPr>
      <w:r>
        <w:rPr>
          <w:rFonts w:hint="eastAsia" w:ascii="微软雅黑" w:hAnsi="微软雅黑" w:eastAsia="微软雅黑" w:cs="微软雅黑"/>
          <w:szCs w:val="21"/>
        </w:rPr>
        <w:t>地产公司高层领导、中层干部、项目骨干，涵盖各专业为佳。</w:t>
      </w:r>
    </w:p>
    <w:p>
      <w:pPr>
        <w:adjustRightInd w:val="0"/>
        <w:snapToGrid w:val="0"/>
        <w:spacing w:line="300" w:lineRule="auto"/>
        <w:ind w:left="420"/>
        <w:rPr>
          <w:rFonts w:hint="eastAsia" w:ascii="微软雅黑" w:hAnsi="微软雅黑" w:eastAsia="微软雅黑" w:cs="微软雅黑"/>
          <w:szCs w:val="21"/>
        </w:rPr>
      </w:pPr>
      <w:r>
        <w:rPr>
          <w:rFonts w:hint="eastAsia" w:ascii="微软雅黑" w:hAnsi="微软雅黑" w:eastAsia="微软雅黑" w:cs="微软雅黑"/>
          <w:szCs w:val="21"/>
        </w:rPr>
        <w:t>尤其地产客服、研发、工程、营销、物业等与交房工作密切相关的干部、骨干员工参与。</w:t>
      </w:r>
    </w:p>
    <w:p>
      <w:pPr>
        <w:adjustRightInd w:val="0"/>
        <w:snapToGrid w:val="0"/>
        <w:spacing w:line="300" w:lineRule="auto"/>
        <w:ind w:left="420"/>
        <w:rPr>
          <w:rFonts w:hint="eastAsia" w:ascii="微软雅黑" w:hAnsi="微软雅黑" w:eastAsia="微软雅黑" w:cs="微软雅黑"/>
          <w:szCs w:val="21"/>
        </w:rPr>
      </w:pPr>
      <w:r>
        <w:rPr>
          <w:rFonts w:hint="eastAsia" w:ascii="微软雅黑" w:hAnsi="微软雅黑" w:eastAsia="微软雅黑" w:cs="微软雅黑"/>
          <w:szCs w:val="21"/>
        </w:rPr>
        <w:t>尽量不要只安排单一职能的基层员工参与（本课程重点在“管理”的系统性，打通管理的逻辑，</w:t>
      </w:r>
      <w:r>
        <w:rPr>
          <w:rFonts w:hint="eastAsia" w:ascii="微软雅黑" w:hAnsi="微软雅黑" w:eastAsia="微软雅黑" w:cs="微软雅黑"/>
          <w:szCs w:val="21"/>
          <w:lang w:val="en-US" w:eastAsia="zh-CN"/>
        </w:rPr>
        <w:t>拓展管理思维眼界，</w:t>
      </w:r>
      <w:r>
        <w:rPr>
          <w:rFonts w:hint="eastAsia" w:ascii="微软雅黑" w:hAnsi="微软雅黑" w:eastAsia="微软雅黑" w:cs="微软雅黑"/>
          <w:szCs w:val="21"/>
        </w:rPr>
        <w:t>而不是具体一线的细节操作）</w:t>
      </w:r>
    </w:p>
    <w:p>
      <w:pPr>
        <w:adjustRightInd w:val="0"/>
        <w:snapToGrid w:val="0"/>
        <w:spacing w:line="300" w:lineRule="auto"/>
        <w:ind w:left="420"/>
        <w:rPr>
          <w:rFonts w:hint="eastAsia" w:ascii="微软雅黑" w:hAnsi="微软雅黑" w:eastAsia="微软雅黑" w:cs="微软雅黑"/>
          <w:szCs w:val="21"/>
        </w:rPr>
      </w:pPr>
      <w:r>
        <w:rPr>
          <w:rFonts w:hint="eastAsia" w:ascii="微软雅黑" w:hAnsi="微软雅黑" w:eastAsia="微软雅黑" w:cs="微软雅黑"/>
          <w:szCs w:val="21"/>
        </w:rPr>
        <w:t>本课程中没有“可以应对一切交房瑕疵、解决一切交房难点的绝招话术”，因此，期望在话术上达成解决一切问题的学员不适合。</w:t>
      </w:r>
    </w:p>
    <w:p>
      <w:pPr>
        <w:adjustRightInd w:val="0"/>
        <w:snapToGrid w:val="0"/>
        <w:spacing w:line="300" w:lineRule="auto"/>
        <w:ind w:left="420"/>
        <w:rPr>
          <w:rFonts w:hint="eastAsia" w:ascii="微软雅黑" w:hAnsi="微软雅黑" w:eastAsia="微软雅黑" w:cs="微软雅黑"/>
          <w:szCs w:val="21"/>
        </w:rPr>
      </w:pPr>
    </w:p>
    <w:p>
      <w:pPr>
        <w:numPr>
          <w:ilvl w:val="0"/>
          <w:numId w:val="1"/>
        </w:numPr>
        <w:adjustRightInd w:val="0"/>
        <w:snapToGrid w:val="0"/>
        <w:spacing w:line="300" w:lineRule="auto"/>
        <w:rPr>
          <w:rFonts w:hint="eastAsia" w:ascii="微软雅黑" w:hAnsi="微软雅黑" w:eastAsia="微软雅黑" w:cs="微软雅黑"/>
          <w:b/>
          <w:sz w:val="24"/>
        </w:rPr>
      </w:pPr>
      <w:r>
        <w:rPr>
          <w:rFonts w:hint="eastAsia" w:ascii="微软雅黑" w:hAnsi="微软雅黑" w:eastAsia="微软雅黑" w:cs="微软雅黑"/>
          <w:b/>
          <w:sz w:val="24"/>
        </w:rPr>
        <w:t>学员收益</w:t>
      </w:r>
    </w:p>
    <w:p>
      <w:pPr>
        <w:adjustRightInd w:val="0"/>
        <w:snapToGrid w:val="0"/>
        <w:spacing w:line="300" w:lineRule="auto"/>
        <w:ind w:firstLine="630" w:firstLineChars="300"/>
        <w:rPr>
          <w:rFonts w:hint="eastAsia" w:ascii="微软雅黑" w:hAnsi="微软雅黑" w:eastAsia="微软雅黑" w:cs="微软雅黑"/>
          <w:szCs w:val="21"/>
        </w:rPr>
      </w:pPr>
      <w:r>
        <w:rPr>
          <w:rFonts w:hint="eastAsia" w:ascii="微软雅黑" w:hAnsi="微软雅黑" w:eastAsia="微软雅黑" w:cs="微软雅黑"/>
          <w:szCs w:val="21"/>
        </w:rPr>
        <w:t>全面系统的掌握标杆企业交房组织与风险管控及纠纷应对的观念、原则、制度、流程、方法和实践案例，包含有机关联的四个部分：（1、2部分为主）</w:t>
      </w:r>
    </w:p>
    <w:p>
      <w:pPr>
        <w:numPr>
          <w:ilvl w:val="0"/>
          <w:numId w:val="2"/>
        </w:numPr>
        <w:tabs>
          <w:tab w:val="left" w:pos="1140"/>
        </w:tabs>
        <w:adjustRightInd w:val="0"/>
        <w:snapToGrid w:val="0"/>
        <w:spacing w:line="300" w:lineRule="auto"/>
        <w:ind w:left="1265"/>
        <w:rPr>
          <w:rFonts w:hint="eastAsia" w:ascii="微软雅黑" w:hAnsi="微软雅黑" w:eastAsia="微软雅黑" w:cs="微软雅黑"/>
          <w:szCs w:val="21"/>
        </w:rPr>
      </w:pPr>
      <w:r>
        <w:rPr>
          <w:rFonts w:hint="eastAsia" w:ascii="微软雅黑" w:hAnsi="微软雅黑" w:eastAsia="微软雅黑" w:cs="微软雅黑"/>
          <w:szCs w:val="21"/>
        </w:rPr>
        <w:t>标杆房企交房精细化组织策划与交房过程管控方法及服务细节亮点借鉴；</w:t>
      </w:r>
    </w:p>
    <w:p>
      <w:pPr>
        <w:numPr>
          <w:ilvl w:val="0"/>
          <w:numId w:val="2"/>
        </w:numPr>
        <w:tabs>
          <w:tab w:val="left" w:pos="1140"/>
        </w:tabs>
        <w:adjustRightInd w:val="0"/>
        <w:snapToGrid w:val="0"/>
        <w:spacing w:line="300" w:lineRule="auto"/>
        <w:ind w:left="1265"/>
        <w:rPr>
          <w:rFonts w:hint="eastAsia" w:ascii="微软雅黑" w:hAnsi="微软雅黑" w:eastAsia="微软雅黑" w:cs="微软雅黑"/>
          <w:szCs w:val="21"/>
        </w:rPr>
      </w:pPr>
      <w:r>
        <w:rPr>
          <w:rFonts w:hint="eastAsia" w:ascii="微软雅黑" w:hAnsi="微软雅黑" w:eastAsia="微软雅黑" w:cs="微软雅黑"/>
          <w:szCs w:val="21"/>
        </w:rPr>
        <w:t>交房群诉纠纷、冲突的发展规律以及处置应对原则和方法；</w:t>
      </w:r>
    </w:p>
    <w:p>
      <w:pPr>
        <w:numPr>
          <w:ilvl w:val="0"/>
          <w:numId w:val="2"/>
        </w:numPr>
        <w:tabs>
          <w:tab w:val="left" w:pos="1140"/>
        </w:tabs>
        <w:adjustRightInd w:val="0"/>
        <w:snapToGrid w:val="0"/>
        <w:spacing w:line="300" w:lineRule="auto"/>
        <w:ind w:left="1265"/>
        <w:rPr>
          <w:rFonts w:hint="eastAsia" w:ascii="微软雅黑" w:hAnsi="微软雅黑" w:eastAsia="微软雅黑" w:cs="微软雅黑"/>
          <w:szCs w:val="21"/>
        </w:rPr>
      </w:pPr>
      <w:r>
        <w:rPr>
          <w:rFonts w:hint="eastAsia" w:ascii="微软雅黑" w:hAnsi="微软雅黑" w:eastAsia="微软雅黑" w:cs="微软雅黑"/>
          <w:szCs w:val="21"/>
        </w:rPr>
        <w:t>交房后工程瑕疵整改实施的保障与提升原则、方法；</w:t>
      </w:r>
    </w:p>
    <w:p>
      <w:pPr>
        <w:numPr>
          <w:ilvl w:val="0"/>
          <w:numId w:val="2"/>
        </w:numPr>
        <w:tabs>
          <w:tab w:val="left" w:pos="1140"/>
        </w:tabs>
        <w:adjustRightInd w:val="0"/>
        <w:snapToGrid w:val="0"/>
        <w:spacing w:line="300" w:lineRule="auto"/>
        <w:ind w:left="1265"/>
        <w:rPr>
          <w:rFonts w:hint="eastAsia" w:ascii="微软雅黑" w:hAnsi="微软雅黑" w:eastAsia="微软雅黑" w:cs="微软雅黑"/>
          <w:szCs w:val="21"/>
        </w:rPr>
      </w:pPr>
      <w:r>
        <w:rPr>
          <w:rFonts w:hint="eastAsia" w:ascii="微软雅黑" w:hAnsi="微软雅黑" w:eastAsia="微软雅黑" w:cs="微软雅黑"/>
          <w:szCs w:val="21"/>
        </w:rPr>
        <w:t>以品牌提升为目标,基于项目后评估，全面总结与知识传承，促进企业产品、服务、管理的全面改善思路与措施借鉴。</w:t>
      </w:r>
    </w:p>
    <w:p>
      <w:pPr>
        <w:adjustRightInd w:val="0"/>
        <w:snapToGrid w:val="0"/>
        <w:spacing w:line="300" w:lineRule="auto"/>
        <w:ind w:firstLine="630" w:firstLineChars="300"/>
        <w:rPr>
          <w:rFonts w:hint="eastAsia" w:ascii="微软雅黑" w:hAnsi="微软雅黑" w:eastAsia="微软雅黑" w:cs="微软雅黑"/>
          <w:szCs w:val="21"/>
        </w:rPr>
      </w:pPr>
      <w:r>
        <w:rPr>
          <w:rFonts w:hint="eastAsia" w:ascii="微软雅黑" w:hAnsi="微软雅黑" w:eastAsia="微软雅黑" w:cs="微软雅黑"/>
          <w:szCs w:val="21"/>
        </w:rPr>
        <w:t>通过学习，触动、引发干部思考本企业交房方案优化，风险应对预案完善以及管理服务全面改善思路计划等，…</w:t>
      </w:r>
    </w:p>
    <w:p>
      <w:pPr>
        <w:adjustRightInd w:val="0"/>
        <w:snapToGrid w:val="0"/>
        <w:spacing w:line="300" w:lineRule="auto"/>
        <w:ind w:left="420"/>
        <w:rPr>
          <w:rFonts w:hint="eastAsia" w:ascii="微软雅黑" w:hAnsi="微软雅黑" w:eastAsia="微软雅黑" w:cs="微软雅黑"/>
          <w:szCs w:val="21"/>
        </w:rPr>
      </w:pPr>
    </w:p>
    <w:p>
      <w:pPr>
        <w:numPr>
          <w:ilvl w:val="0"/>
          <w:numId w:val="1"/>
        </w:numPr>
        <w:adjustRightInd w:val="0"/>
        <w:snapToGrid w:val="0"/>
        <w:spacing w:line="300" w:lineRule="auto"/>
        <w:rPr>
          <w:rFonts w:hint="eastAsia" w:ascii="微软雅黑" w:hAnsi="微软雅黑" w:eastAsia="微软雅黑" w:cs="微软雅黑"/>
          <w:sz w:val="24"/>
        </w:rPr>
      </w:pPr>
      <w:r>
        <w:rPr>
          <w:rFonts w:hint="eastAsia" w:ascii="微软雅黑" w:hAnsi="微软雅黑" w:eastAsia="微软雅黑" w:cs="微软雅黑"/>
          <w:b/>
          <w:sz w:val="24"/>
        </w:rPr>
        <w:t>课程时间：</w:t>
      </w:r>
      <w:r>
        <w:rPr>
          <w:rFonts w:hint="eastAsia" w:ascii="微软雅黑" w:hAnsi="微软雅黑" w:eastAsia="微软雅黑" w:cs="微软雅黑"/>
          <w:sz w:val="24"/>
        </w:rPr>
        <w:t>2天（12小时）</w:t>
      </w:r>
    </w:p>
    <w:p>
      <w:pPr>
        <w:widowControl/>
        <w:adjustRightInd w:val="0"/>
        <w:snapToGrid w:val="0"/>
        <w:spacing w:line="300" w:lineRule="auto"/>
        <w:rPr>
          <w:rFonts w:hint="eastAsia" w:ascii="微软雅黑" w:hAnsi="微软雅黑" w:eastAsia="微软雅黑" w:cs="微软雅黑"/>
          <w:szCs w:val="21"/>
        </w:rPr>
      </w:pPr>
    </w:p>
    <w:p>
      <w:pPr>
        <w:numPr>
          <w:ilvl w:val="0"/>
          <w:numId w:val="1"/>
        </w:numPr>
        <w:adjustRightInd w:val="0"/>
        <w:snapToGrid w:val="0"/>
        <w:spacing w:line="300" w:lineRule="auto"/>
        <w:rPr>
          <w:rFonts w:hint="eastAsia" w:ascii="微软雅黑" w:hAnsi="微软雅黑" w:eastAsia="微软雅黑" w:cs="微软雅黑"/>
          <w:b/>
          <w:sz w:val="24"/>
        </w:rPr>
      </w:pPr>
      <w:r>
        <w:rPr>
          <w:rFonts w:hint="eastAsia" w:ascii="微软雅黑" w:hAnsi="微软雅黑" w:eastAsia="微软雅黑" w:cs="微软雅黑"/>
          <w:b/>
          <w:sz w:val="24"/>
        </w:rPr>
        <w:t>课程大纲</w:t>
      </w:r>
    </w:p>
    <w:p>
      <w:pPr>
        <w:adjustRightInd w:val="0"/>
        <w:snapToGrid w:val="0"/>
        <w:spacing w:line="300" w:lineRule="auto"/>
        <w:ind w:left="420"/>
        <w:jc w:val="center"/>
        <w:rPr>
          <w:rFonts w:hint="eastAsia" w:ascii="微软雅黑" w:hAnsi="微软雅黑" w:eastAsia="微软雅黑" w:cs="微软雅黑"/>
          <w:b/>
          <w:sz w:val="24"/>
          <w:shd w:val="pct10" w:color="auto" w:fill="FFFFFF"/>
        </w:rPr>
      </w:pPr>
      <w:r>
        <w:rPr>
          <w:rFonts w:hint="eastAsia" w:ascii="微软雅黑" w:hAnsi="微软雅黑" w:eastAsia="微软雅黑" w:cs="微软雅黑"/>
          <w:b/>
          <w:sz w:val="24"/>
          <w:shd w:val="pct10" w:color="auto" w:fill="FFFFFF"/>
        </w:rPr>
        <w:t>第一天上午+下午：《交房精细化组织策划与交房过程管控和服务细节亮点》</w:t>
      </w:r>
    </w:p>
    <w:p>
      <w:pPr>
        <w:numPr>
          <w:ilvl w:val="1"/>
          <w:numId w:val="1"/>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交房正成为普遍的麻烦</w:t>
      </w:r>
      <w:r>
        <w:rPr>
          <w:rFonts w:hint="eastAsia" w:ascii="微软雅黑" w:hAnsi="微软雅黑" w:eastAsia="微软雅黑" w:cs="微软雅黑"/>
          <w:b/>
          <w:szCs w:val="21"/>
          <w:lang w:val="en-US" w:eastAsia="zh-CN"/>
        </w:rPr>
        <w:t xml:space="preserve">   0.5-1小时</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房地产投诉维权演变趋势</w:t>
      </w:r>
      <w:r>
        <w:rPr>
          <w:rFonts w:hint="eastAsia" w:ascii="微软雅黑" w:hAnsi="微软雅黑" w:eastAsia="微软雅黑" w:cs="微软雅黑"/>
          <w:szCs w:val="21"/>
          <w:lang w:eastAsia="zh-CN"/>
        </w:rPr>
        <w:t>，</w:t>
      </w:r>
      <w:r>
        <w:rPr>
          <w:rFonts w:hint="eastAsia" w:ascii="微软雅黑" w:hAnsi="微软雅黑" w:eastAsia="微软雅黑" w:cs="微软雅黑"/>
          <w:szCs w:val="21"/>
          <w:lang w:val="en-US" w:eastAsia="zh-CN"/>
        </w:rPr>
        <w:t>标杆房企也被波及</w:t>
      </w:r>
    </w:p>
    <w:p>
      <w:pPr>
        <w:numPr>
          <w:ilvl w:val="0"/>
          <w:numId w:val="0"/>
        </w:numPr>
        <w:adjustRightInd w:val="0"/>
        <w:snapToGrid w:val="0"/>
        <w:spacing w:line="300" w:lineRule="auto"/>
        <w:ind w:left="840" w:leftChars="0"/>
        <w:rPr>
          <w:rFonts w:hint="eastAsia" w:ascii="微软雅黑" w:hAnsi="微软雅黑" w:eastAsia="微软雅黑" w:cs="微软雅黑"/>
          <w:szCs w:val="21"/>
          <w:lang w:val="en-US"/>
        </w:rPr>
      </w:pPr>
      <w:r>
        <w:rPr>
          <w:rFonts w:hint="eastAsia" w:ascii="微软雅黑" w:hAnsi="微软雅黑" w:eastAsia="微软雅黑" w:cs="微软雅黑"/>
          <w:szCs w:val="21"/>
          <w:lang w:val="en-US" w:eastAsia="zh-CN"/>
        </w:rPr>
        <w:t>---揭示了交房纠纷的普遍性与处理的高难度，提升干部员工的关注</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交房</w:t>
      </w:r>
      <w:r>
        <w:rPr>
          <w:rFonts w:hint="eastAsia" w:ascii="微软雅黑" w:hAnsi="微软雅黑" w:eastAsia="微软雅黑" w:cs="微软雅黑"/>
          <w:szCs w:val="21"/>
          <w:lang w:val="en-US" w:eastAsia="zh-CN"/>
        </w:rPr>
        <w:t>即维权，根在何处？--</w:t>
      </w:r>
      <w:r>
        <w:rPr>
          <w:rFonts w:hint="eastAsia" w:ascii="微软雅黑" w:hAnsi="微软雅黑" w:eastAsia="微软雅黑" w:cs="微软雅黑"/>
          <w:szCs w:val="21"/>
        </w:rPr>
        <w:t>交房纠纷激化的要素分析</w:t>
      </w:r>
    </w:p>
    <w:p>
      <w:pPr>
        <w:numPr>
          <w:ilvl w:val="0"/>
          <w:numId w:val="0"/>
        </w:numPr>
        <w:adjustRightInd w:val="0"/>
        <w:snapToGrid w:val="0"/>
        <w:spacing w:line="300" w:lineRule="auto"/>
        <w:ind w:left="840" w:leftChars="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---通过分析交房纠纷计划的六大因素，解析行业普遍误区盲区：</w:t>
      </w:r>
    </w:p>
    <w:p>
      <w:pPr>
        <w:numPr>
          <w:ilvl w:val="0"/>
          <w:numId w:val="3"/>
        </w:numPr>
        <w:adjustRightInd w:val="0"/>
        <w:snapToGrid w:val="0"/>
        <w:ind w:left="840" w:leftChars="0" w:firstLine="420" w:firstLineChars="200"/>
        <w:rPr>
          <w:rFonts w:hint="eastAsia" w:ascii="微软雅黑" w:hAnsi="微软雅黑" w:eastAsia="微软雅黑" w:cs="微软雅黑"/>
          <w:b w:val="0"/>
          <w:bCs/>
          <w:szCs w:val="21"/>
          <w:lang w:val="en-US" w:eastAsia="zh-CN"/>
        </w:rPr>
      </w:pPr>
      <w:r>
        <w:rPr>
          <w:rFonts w:hint="eastAsia" w:ascii="微软雅黑" w:hAnsi="微软雅黑" w:eastAsia="微软雅黑" w:cs="微软雅黑"/>
          <w:b w:val="0"/>
          <w:bCs/>
          <w:szCs w:val="21"/>
          <w:lang w:val="en-US" w:eastAsia="zh-CN"/>
        </w:rPr>
        <w:t>营销承诺与现实落差的困局，要生存还是要品牌？企业摇摆的选择导致投诉困局！</w:t>
      </w:r>
    </w:p>
    <w:p>
      <w:pPr>
        <w:numPr>
          <w:ilvl w:val="0"/>
          <w:numId w:val="0"/>
        </w:numPr>
        <w:adjustRightInd w:val="0"/>
        <w:snapToGrid w:val="0"/>
        <w:ind w:leftChars="200" w:firstLine="840" w:firstLineChars="400"/>
        <w:rPr>
          <w:rFonts w:hint="eastAsia" w:ascii="微软雅黑" w:hAnsi="微软雅黑" w:eastAsia="微软雅黑" w:cs="微软雅黑"/>
          <w:b w:val="0"/>
          <w:bCs/>
          <w:szCs w:val="21"/>
          <w:lang w:val="en-US" w:eastAsia="zh-CN"/>
        </w:rPr>
      </w:pPr>
      <w:r>
        <w:rPr>
          <w:rFonts w:hint="eastAsia" w:ascii="微软雅黑" w:hAnsi="微软雅黑" w:eastAsia="微软雅黑" w:cs="微软雅黑"/>
          <w:b w:val="0"/>
          <w:bCs/>
          <w:szCs w:val="21"/>
          <w:lang w:val="en-US" w:eastAsia="zh-CN"/>
        </w:rPr>
        <w:t>通过对营销本质的追问，揭示企业干部对客户导向、品牌核心认识的普遍误区！</w:t>
      </w:r>
    </w:p>
    <w:p>
      <w:pPr>
        <w:numPr>
          <w:ilvl w:val="0"/>
          <w:numId w:val="3"/>
        </w:numPr>
        <w:adjustRightInd w:val="0"/>
        <w:snapToGrid w:val="0"/>
        <w:ind w:left="840" w:leftChars="0" w:firstLine="420" w:firstLineChars="200"/>
        <w:rPr>
          <w:rFonts w:hint="eastAsia" w:ascii="微软雅黑" w:hAnsi="微软雅黑" w:eastAsia="微软雅黑" w:cs="微软雅黑"/>
          <w:b/>
          <w:szCs w:val="21"/>
        </w:rPr>
      </w:pPr>
      <w:r>
        <w:rPr>
          <w:rFonts w:hint="eastAsia" w:ascii="微软雅黑" w:hAnsi="微软雅黑" w:eastAsia="微软雅黑" w:cs="微软雅黑"/>
          <w:b w:val="0"/>
          <w:bCs/>
          <w:szCs w:val="21"/>
          <w:lang w:val="en-US" w:eastAsia="zh-CN"/>
        </w:rPr>
        <w:t>普遍的短板与误区：风险排查忽略对客户预期的风险梳理，隐患无穷</w:t>
      </w:r>
    </w:p>
    <w:p>
      <w:pPr>
        <w:numPr>
          <w:ilvl w:val="0"/>
          <w:numId w:val="3"/>
        </w:numPr>
        <w:adjustRightInd w:val="0"/>
        <w:snapToGrid w:val="0"/>
        <w:ind w:left="840" w:leftChars="0" w:firstLine="420" w:firstLineChars="200"/>
        <w:rPr>
          <w:rFonts w:hint="eastAsia" w:ascii="微软雅黑" w:hAnsi="微软雅黑" w:eastAsia="微软雅黑" w:cs="微软雅黑"/>
          <w:szCs w:val="21"/>
          <w:lang w:val="en-US" w:eastAsia="zh-CN"/>
        </w:rPr>
      </w:pPr>
      <w:r>
        <w:rPr>
          <w:rFonts w:hint="eastAsia" w:ascii="微软雅黑" w:hAnsi="微软雅黑" w:eastAsia="微软雅黑" w:cs="微软雅黑"/>
          <w:b w:val="0"/>
          <w:bCs/>
          <w:szCs w:val="21"/>
          <w:lang w:val="en-US" w:eastAsia="zh-CN"/>
        </w:rPr>
        <w:t>对客户维权专业度及力度演变趋势缺乏重视，采取</w:t>
      </w:r>
      <w:r>
        <w:rPr>
          <w:rFonts w:hint="eastAsia" w:ascii="微软雅黑" w:hAnsi="微软雅黑" w:eastAsia="微软雅黑" w:cs="微软雅黑"/>
          <w:b w:val="0"/>
          <w:bCs/>
          <w:szCs w:val="21"/>
        </w:rPr>
        <w:t>愚民措施</w:t>
      </w:r>
      <w:r>
        <w:rPr>
          <w:rFonts w:hint="eastAsia" w:ascii="微软雅黑" w:hAnsi="微软雅黑" w:eastAsia="微软雅黑" w:cs="微软雅黑"/>
          <w:b w:val="0"/>
          <w:bCs/>
          <w:szCs w:val="21"/>
          <w:lang w:eastAsia="zh-CN"/>
        </w:rPr>
        <w:t>、</w:t>
      </w:r>
      <w:r>
        <w:rPr>
          <w:rFonts w:hint="eastAsia" w:ascii="微软雅黑" w:hAnsi="微软雅黑" w:eastAsia="微软雅黑" w:cs="微软雅黑"/>
          <w:b w:val="0"/>
          <w:bCs/>
          <w:szCs w:val="21"/>
          <w:lang w:val="en-US" w:eastAsia="zh-CN"/>
        </w:rPr>
        <w:t>侥幸心理</w:t>
      </w:r>
      <w:r>
        <w:rPr>
          <w:rFonts w:hint="eastAsia" w:ascii="微软雅黑" w:hAnsi="微软雅黑" w:eastAsia="微软雅黑" w:cs="微软雅黑"/>
          <w:b w:val="0"/>
          <w:bCs/>
          <w:szCs w:val="21"/>
        </w:rPr>
        <w:t>害人害己！</w:t>
      </w:r>
    </w:p>
    <w:p>
      <w:pPr>
        <w:numPr>
          <w:ilvl w:val="0"/>
          <w:numId w:val="3"/>
        </w:numPr>
        <w:adjustRightInd w:val="0"/>
        <w:snapToGrid w:val="0"/>
        <w:ind w:left="840" w:leftChars="0" w:firstLine="420" w:firstLineChars="200"/>
        <w:rPr>
          <w:rFonts w:hint="eastAsia" w:ascii="微软雅黑" w:hAnsi="微软雅黑" w:eastAsia="微软雅黑" w:cs="微软雅黑"/>
          <w:szCs w:val="21"/>
          <w:lang w:val="en-US" w:eastAsia="zh-CN"/>
        </w:rPr>
      </w:pPr>
      <w:r>
        <w:rPr>
          <w:rFonts w:hint="eastAsia" w:ascii="微软雅黑" w:hAnsi="微软雅黑" w:eastAsia="微软雅黑" w:cs="微软雅黑"/>
          <w:b w:val="0"/>
          <w:bCs/>
          <w:szCs w:val="21"/>
          <w:lang w:eastAsia="zh-CN"/>
        </w:rPr>
        <w:t>。。。</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行业的短板，房闹的机会</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交房成功可有绝招？关键</w:t>
      </w:r>
      <w:r>
        <w:rPr>
          <w:rFonts w:hint="eastAsia" w:ascii="微软雅黑" w:hAnsi="微软雅黑" w:eastAsia="微软雅黑" w:cs="微软雅黑"/>
          <w:szCs w:val="21"/>
          <w:lang w:val="en-US" w:eastAsia="zh-CN"/>
        </w:rPr>
        <w:t>在哪里？</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交房满意提升是系统工程！有四大要务，相辅相成！</w:t>
      </w:r>
    </w:p>
    <w:p>
      <w:pPr>
        <w:numPr>
          <w:ilvl w:val="0"/>
          <w:numId w:val="0"/>
        </w:numPr>
        <w:adjustRightInd w:val="0"/>
        <w:snapToGrid w:val="0"/>
        <w:ind w:left="840" w:leftChars="400" w:firstLine="420" w:firstLineChars="200"/>
        <w:rPr>
          <w:rFonts w:hint="eastAsia" w:ascii="微软雅黑" w:hAnsi="微软雅黑" w:eastAsia="微软雅黑" w:cs="微软雅黑"/>
          <w:b/>
          <w:szCs w:val="21"/>
          <w:lang w:val="en-US" w:eastAsia="zh-CN"/>
        </w:rPr>
      </w:pPr>
      <w:r>
        <w:rPr>
          <w:rFonts w:hint="eastAsia" w:ascii="微软雅黑" w:hAnsi="微软雅黑" w:eastAsia="微软雅黑" w:cs="微软雅黑"/>
          <w:b w:val="0"/>
          <w:bCs/>
          <w:szCs w:val="21"/>
          <w:lang w:val="en-US" w:eastAsia="zh-CN"/>
        </w:rPr>
        <w:t>本章节揭示了房地产行业投诉纠纷高发的根源，既有行业本身的特点，也有企业、项目本身管理专业度水平的差异，</w:t>
      </w:r>
      <w:r>
        <w:rPr>
          <w:rFonts w:hint="eastAsia" w:ascii="微软雅黑" w:hAnsi="微软雅黑" w:eastAsia="微软雅黑" w:cs="微软雅黑"/>
          <w:b/>
          <w:szCs w:val="21"/>
          <w:lang w:val="en-US" w:eastAsia="zh-CN"/>
        </w:rPr>
        <w:t>更有客户维权模式发生重大变化的因素。</w:t>
      </w:r>
    </w:p>
    <w:p>
      <w:pPr>
        <w:numPr>
          <w:ilvl w:val="0"/>
          <w:numId w:val="0"/>
        </w:numPr>
        <w:adjustRightInd w:val="0"/>
        <w:snapToGrid w:val="0"/>
        <w:ind w:left="840" w:leftChars="200" w:hanging="420" w:hangingChars="200"/>
        <w:rPr>
          <w:rFonts w:hint="eastAsia" w:ascii="微软雅黑" w:hAnsi="微软雅黑" w:eastAsia="微软雅黑" w:cs="微软雅黑"/>
          <w:b w:val="0"/>
          <w:bCs/>
          <w:szCs w:val="21"/>
          <w:lang w:val="en-US" w:eastAsia="zh-CN"/>
        </w:rPr>
      </w:pPr>
      <w:r>
        <w:rPr>
          <w:rFonts w:hint="eastAsia" w:ascii="微软雅黑" w:hAnsi="微软雅黑" w:eastAsia="微软雅黑" w:cs="微软雅黑"/>
          <w:b/>
          <w:szCs w:val="21"/>
          <w:lang w:val="en-US" w:eastAsia="zh-CN"/>
        </w:rPr>
        <w:t xml:space="preserve">   </w:t>
      </w:r>
      <w:r>
        <w:rPr>
          <w:rFonts w:hint="eastAsia" w:ascii="微软雅黑" w:hAnsi="微软雅黑" w:eastAsia="微软雅黑" w:cs="微软雅黑"/>
          <w:b w:val="0"/>
          <w:bCs/>
          <w:szCs w:val="21"/>
          <w:lang w:val="en-US" w:eastAsia="zh-CN"/>
        </w:rPr>
        <w:t xml:space="preserve">     老师用生动案例揭示了客户维权模式演变升级的规律，给企业和学员深刻警醒：不要对交房和客户维权的强度、广度、专业度抱侥幸心理！</w:t>
      </w:r>
    </w:p>
    <w:p>
      <w:pPr>
        <w:numPr>
          <w:ilvl w:val="0"/>
          <w:numId w:val="0"/>
        </w:numPr>
        <w:adjustRightInd w:val="0"/>
        <w:snapToGrid w:val="0"/>
        <w:ind w:left="420" w:leftChars="200" w:firstLine="420" w:firstLineChars="200"/>
        <w:rPr>
          <w:rFonts w:hint="eastAsia" w:ascii="微软雅黑" w:hAnsi="微软雅黑" w:eastAsia="微软雅黑" w:cs="微软雅黑"/>
          <w:szCs w:val="21"/>
        </w:rPr>
      </w:pPr>
      <w:r>
        <w:rPr>
          <w:rFonts w:hint="eastAsia" w:ascii="微软雅黑" w:hAnsi="微软雅黑" w:eastAsia="微软雅黑" w:cs="微软雅黑"/>
          <w:b w:val="0"/>
          <w:bCs/>
          <w:szCs w:val="21"/>
          <w:lang w:val="en-US" w:eastAsia="zh-CN"/>
        </w:rPr>
        <w:t>通过对行业中针对“交房、纠纷处理”的普遍观念和措施误区给予揭示解读，有助于提升企业员工的客户导向意识，提升对交房工作系统性的认知，提升对客户意见、客服部门、对企业长远品牌塑造的重视；</w:t>
      </w:r>
    </w:p>
    <w:p>
      <w:pPr>
        <w:numPr>
          <w:ilvl w:val="1"/>
          <w:numId w:val="1"/>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学习标杆房企精细化交房策划与组织（重点）</w:t>
      </w:r>
      <w:r>
        <w:rPr>
          <w:rFonts w:hint="eastAsia" w:ascii="微软雅黑" w:hAnsi="微软雅黑" w:eastAsia="微软雅黑" w:cs="微软雅黑"/>
          <w:b/>
          <w:szCs w:val="21"/>
          <w:lang w:val="en-US" w:eastAsia="zh-CN"/>
        </w:rPr>
        <w:t>4-5小时</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对交房</w:t>
      </w:r>
      <w:r>
        <w:rPr>
          <w:rFonts w:hint="eastAsia" w:ascii="微软雅黑" w:hAnsi="微软雅黑" w:eastAsia="微软雅黑" w:cs="微软雅黑"/>
          <w:szCs w:val="21"/>
          <w:lang w:val="en-US" w:eastAsia="zh-CN"/>
        </w:rPr>
        <w:t>目标</w:t>
      </w:r>
      <w:r>
        <w:rPr>
          <w:rFonts w:hint="eastAsia" w:ascii="微软雅黑" w:hAnsi="微软雅黑" w:eastAsia="微软雅黑" w:cs="微软雅黑"/>
          <w:szCs w:val="21"/>
        </w:rPr>
        <w:t>的期望差异说明了什么</w:t>
      </w:r>
      <w:r>
        <w:rPr>
          <w:rFonts w:hint="eastAsia" w:ascii="微软雅黑" w:hAnsi="微软雅黑" w:eastAsia="微软雅黑" w:cs="微软雅黑"/>
          <w:szCs w:val="21"/>
          <w:lang w:eastAsia="zh-CN"/>
        </w:rPr>
        <w:t>？</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行业竣验-交房工作的普遍不足</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研讨标杆房企的交房策划</w:t>
      </w:r>
      <w:r>
        <w:rPr>
          <w:rFonts w:hint="eastAsia" w:ascii="微软雅黑" w:hAnsi="微软雅黑" w:eastAsia="微软雅黑" w:cs="微软雅黑"/>
          <w:szCs w:val="21"/>
          <w:lang w:val="en-US" w:eastAsia="zh-CN"/>
        </w:rPr>
        <w:t>方案</w:t>
      </w:r>
      <w:r>
        <w:rPr>
          <w:rFonts w:hint="eastAsia" w:ascii="微软雅黑" w:hAnsi="微软雅黑" w:eastAsia="微软雅黑" w:cs="微软雅黑"/>
          <w:szCs w:val="21"/>
        </w:rPr>
        <w:t>与组织流程及特色</w:t>
      </w:r>
      <w:r>
        <w:rPr>
          <w:rFonts w:hint="eastAsia" w:ascii="微软雅黑" w:hAnsi="微软雅黑" w:eastAsia="微软雅黑" w:cs="微软雅黑"/>
          <w:szCs w:val="21"/>
          <w:lang w:eastAsia="zh-CN"/>
        </w:rPr>
        <w:t>（</w:t>
      </w:r>
      <w:r>
        <w:rPr>
          <w:rFonts w:hint="eastAsia" w:ascii="微软雅黑" w:hAnsi="微软雅黑" w:eastAsia="微软雅黑" w:cs="微软雅黑"/>
          <w:szCs w:val="21"/>
          <w:lang w:val="en-US" w:eastAsia="zh-CN"/>
        </w:rPr>
        <w:t>案例，约0.5小时）</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精细化竣验交房主要工作概览</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交房前：组织策划10大亮点解析与分享,重点在：</w:t>
      </w:r>
      <w:r>
        <w:rPr>
          <w:rFonts w:hint="eastAsia" w:ascii="微软雅黑" w:hAnsi="微软雅黑" w:eastAsia="微软雅黑" w:cs="微软雅黑"/>
          <w:szCs w:val="21"/>
          <w:lang w:eastAsia="zh-CN"/>
        </w:rPr>
        <w:t>（</w:t>
      </w:r>
      <w:r>
        <w:rPr>
          <w:rFonts w:hint="eastAsia" w:ascii="微软雅黑" w:hAnsi="微软雅黑" w:eastAsia="微软雅黑" w:cs="微软雅黑"/>
          <w:szCs w:val="21"/>
          <w:lang w:val="en-US" w:eastAsia="zh-CN"/>
        </w:rPr>
        <w:t>约2小时</w:t>
      </w:r>
      <w:r>
        <w:rPr>
          <w:rFonts w:hint="eastAsia" w:ascii="微软雅黑" w:hAnsi="微软雅黑" w:eastAsia="微软雅黑" w:cs="微软雅黑"/>
          <w:szCs w:val="21"/>
          <w:lang w:eastAsia="zh-CN"/>
        </w:rPr>
        <w:t>）</w:t>
      </w:r>
    </w:p>
    <w:p>
      <w:pPr>
        <w:numPr>
          <w:ilvl w:val="0"/>
          <w:numId w:val="4"/>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交房的组织机构与准备</w:t>
      </w:r>
    </w:p>
    <w:p>
      <w:pPr>
        <w:numPr>
          <w:ilvl w:val="0"/>
          <w:numId w:val="4"/>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验房的标准梳理、</w:t>
      </w:r>
    </w:p>
    <w:p>
      <w:pPr>
        <w:numPr>
          <w:ilvl w:val="0"/>
          <w:numId w:val="4"/>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交房风险的排查、</w:t>
      </w:r>
    </w:p>
    <w:p>
      <w:pPr>
        <w:numPr>
          <w:ilvl w:val="0"/>
          <w:numId w:val="4"/>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交房话术打磨</w:t>
      </w:r>
    </w:p>
    <w:p>
      <w:pPr>
        <w:numPr>
          <w:ilvl w:val="0"/>
          <w:numId w:val="4"/>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验房、交房人员的培训</w:t>
      </w:r>
    </w:p>
    <w:p>
      <w:pPr>
        <w:numPr>
          <w:ilvl w:val="0"/>
          <w:numId w:val="4"/>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交房的氛围</w:t>
      </w:r>
      <w:r>
        <w:rPr>
          <w:rFonts w:hint="eastAsia" w:ascii="微软雅黑" w:hAnsi="微软雅黑" w:eastAsia="微软雅黑" w:cs="微软雅黑"/>
          <w:bCs/>
          <w:szCs w:val="21"/>
          <w:lang w:val="en-US" w:eastAsia="zh-CN"/>
        </w:rPr>
        <w:t>及活动</w:t>
      </w:r>
      <w:r>
        <w:rPr>
          <w:rFonts w:hint="eastAsia" w:ascii="微软雅黑" w:hAnsi="微软雅黑" w:eastAsia="微软雅黑" w:cs="微软雅黑"/>
          <w:bCs/>
          <w:szCs w:val="21"/>
        </w:rPr>
        <w:t>策划</w:t>
      </w:r>
    </w:p>
    <w:p>
      <w:pPr>
        <w:numPr>
          <w:ilvl w:val="0"/>
          <w:numId w:val="4"/>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w:t>
      </w:r>
    </w:p>
    <w:p>
      <w:pPr>
        <w:numPr>
          <w:ilvl w:val="0"/>
          <w:numId w:val="0"/>
        </w:numPr>
        <w:topLinePunct/>
        <w:adjustRightInd w:val="0"/>
        <w:snapToGrid w:val="0"/>
        <w:spacing w:line="300" w:lineRule="auto"/>
        <w:ind w:leftChars="500"/>
        <w:rPr>
          <w:rFonts w:hint="eastAsia" w:ascii="微软雅黑" w:hAnsi="微软雅黑" w:eastAsia="微软雅黑" w:cs="微软雅黑"/>
          <w:bCs/>
          <w:szCs w:val="21"/>
          <w:lang w:val="en-US" w:eastAsia="zh-CN"/>
        </w:rPr>
      </w:pPr>
      <w:r>
        <w:rPr>
          <w:rFonts w:hint="eastAsia" w:ascii="微软雅黑" w:hAnsi="微软雅黑" w:eastAsia="微软雅黑" w:cs="微软雅黑"/>
          <w:bCs/>
          <w:szCs w:val="21"/>
          <w:lang w:val="en-US" w:eastAsia="zh-CN"/>
        </w:rPr>
        <w:t>本章节详尽解读竣验交房的各项工作内容及其组织管理要点，重点强调了“风险预控”的核心观点。通过标杆企业的案例指出了众多企业的需要改善提高的方向。</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交房中：入伙执行6大环节的细节与亮点分享</w:t>
      </w:r>
      <w:r>
        <w:rPr>
          <w:rFonts w:hint="eastAsia" w:ascii="微软雅黑" w:hAnsi="微软雅黑" w:eastAsia="微软雅黑" w:cs="微软雅黑"/>
          <w:szCs w:val="21"/>
          <w:lang w:eastAsia="zh-CN"/>
        </w:rPr>
        <w:t>（</w:t>
      </w:r>
      <w:r>
        <w:rPr>
          <w:rFonts w:hint="eastAsia" w:ascii="微软雅黑" w:hAnsi="微软雅黑" w:eastAsia="微软雅黑" w:cs="微软雅黑"/>
          <w:szCs w:val="21"/>
          <w:lang w:val="en-US" w:eastAsia="zh-CN"/>
        </w:rPr>
        <w:t>约2小时</w:t>
      </w:r>
      <w:r>
        <w:rPr>
          <w:rFonts w:hint="eastAsia" w:ascii="微软雅黑" w:hAnsi="微软雅黑" w:eastAsia="微软雅黑" w:cs="微软雅黑"/>
          <w:szCs w:val="21"/>
          <w:lang w:eastAsia="zh-CN"/>
        </w:rPr>
        <w:t>）</w:t>
      </w:r>
    </w:p>
    <w:p>
      <w:pPr>
        <w:numPr>
          <w:ilvl w:val="0"/>
          <w:numId w:val="5"/>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lang w:val="en-US" w:eastAsia="zh-CN"/>
        </w:rPr>
        <w:t>交房科学排序</w:t>
      </w:r>
    </w:p>
    <w:p>
      <w:pPr>
        <w:numPr>
          <w:ilvl w:val="0"/>
          <w:numId w:val="5"/>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交房氛围营造</w:t>
      </w:r>
    </w:p>
    <w:p>
      <w:pPr>
        <w:numPr>
          <w:ilvl w:val="0"/>
          <w:numId w:val="5"/>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交房的流程设计与变通</w:t>
      </w:r>
    </w:p>
    <w:p>
      <w:pPr>
        <w:numPr>
          <w:ilvl w:val="0"/>
          <w:numId w:val="5"/>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交房的服务细节如何策划实施？</w:t>
      </w:r>
    </w:p>
    <w:p>
      <w:pPr>
        <w:numPr>
          <w:ilvl w:val="0"/>
          <w:numId w:val="5"/>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lang w:val="en-US" w:eastAsia="zh-CN"/>
        </w:rPr>
        <w:t>交房的现场保障</w:t>
      </w:r>
    </w:p>
    <w:p>
      <w:pPr>
        <w:numPr>
          <w:ilvl w:val="0"/>
          <w:numId w:val="5"/>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交房的过程管控...等</w:t>
      </w:r>
    </w:p>
    <w:p>
      <w:pPr>
        <w:numPr>
          <w:ilvl w:val="0"/>
          <w:numId w:val="0"/>
        </w:numPr>
        <w:topLinePunct/>
        <w:adjustRightInd w:val="0"/>
        <w:snapToGrid w:val="0"/>
        <w:spacing w:line="300" w:lineRule="auto"/>
        <w:ind w:leftChars="500"/>
        <w:rPr>
          <w:rFonts w:hint="eastAsia" w:ascii="微软雅黑" w:hAnsi="微软雅黑" w:eastAsia="微软雅黑" w:cs="微软雅黑"/>
          <w:bCs/>
          <w:szCs w:val="21"/>
          <w:lang w:val="en-US" w:eastAsia="zh-CN"/>
        </w:rPr>
      </w:pPr>
      <w:r>
        <w:rPr>
          <w:rFonts w:hint="eastAsia" w:ascii="微软雅黑" w:hAnsi="微软雅黑" w:eastAsia="微软雅黑" w:cs="微软雅黑"/>
          <w:bCs/>
          <w:szCs w:val="21"/>
          <w:lang w:val="en-US" w:eastAsia="zh-CN"/>
        </w:rPr>
        <w:t>众多案例解读交房如何精细化，如何有效提升客户体验，提升交房满意度。</w:t>
      </w:r>
    </w:p>
    <w:p>
      <w:pPr>
        <w:numPr>
          <w:ilvl w:val="2"/>
          <w:numId w:val="1"/>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交房末：解析3大工作要点</w:t>
      </w:r>
      <w:r>
        <w:rPr>
          <w:rFonts w:hint="eastAsia" w:ascii="微软雅黑" w:hAnsi="微软雅黑" w:eastAsia="微软雅黑" w:cs="微软雅黑"/>
          <w:szCs w:val="21"/>
          <w:lang w:eastAsia="zh-CN"/>
        </w:rPr>
        <w:t>（</w:t>
      </w:r>
      <w:r>
        <w:rPr>
          <w:rFonts w:hint="eastAsia" w:ascii="微软雅黑" w:hAnsi="微软雅黑" w:eastAsia="微软雅黑" w:cs="微软雅黑"/>
          <w:szCs w:val="21"/>
          <w:lang w:val="en-US" w:eastAsia="zh-CN"/>
        </w:rPr>
        <w:t>约0.5小时</w:t>
      </w:r>
      <w:r>
        <w:rPr>
          <w:rFonts w:hint="eastAsia" w:ascii="微软雅黑" w:hAnsi="微软雅黑" w:eastAsia="微软雅黑" w:cs="微软雅黑"/>
          <w:szCs w:val="21"/>
          <w:lang w:eastAsia="zh-CN"/>
        </w:rPr>
        <w:t>）</w:t>
      </w:r>
    </w:p>
    <w:p>
      <w:pPr>
        <w:numPr>
          <w:ilvl w:val="0"/>
          <w:numId w:val="6"/>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表彰鼓励</w:t>
      </w:r>
    </w:p>
    <w:p>
      <w:pPr>
        <w:numPr>
          <w:ilvl w:val="0"/>
          <w:numId w:val="6"/>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整改保障</w:t>
      </w:r>
    </w:p>
    <w:p>
      <w:pPr>
        <w:numPr>
          <w:ilvl w:val="0"/>
          <w:numId w:val="6"/>
        </w:numPr>
        <w:topLinePunct/>
        <w:adjustRightInd w:val="0"/>
        <w:snapToGrid w:val="0"/>
        <w:spacing w:line="300" w:lineRule="auto"/>
        <w:ind w:left="630" w:leftChars="300" w:firstLine="420" w:firstLineChars="200"/>
        <w:rPr>
          <w:rFonts w:hint="eastAsia" w:ascii="微软雅黑" w:hAnsi="微软雅黑" w:eastAsia="微软雅黑" w:cs="微软雅黑"/>
          <w:bCs/>
          <w:szCs w:val="21"/>
        </w:rPr>
      </w:pPr>
      <w:r>
        <w:rPr>
          <w:rFonts w:hint="eastAsia" w:ascii="微软雅黑" w:hAnsi="微软雅黑" w:eastAsia="微软雅黑" w:cs="微软雅黑"/>
          <w:bCs/>
          <w:szCs w:val="21"/>
        </w:rPr>
        <w:t>经验总结、知识传承</w:t>
      </w:r>
    </w:p>
    <w:p>
      <w:pPr>
        <w:numPr>
          <w:ilvl w:val="0"/>
          <w:numId w:val="0"/>
        </w:numPr>
        <w:topLinePunct/>
        <w:adjustRightInd w:val="0"/>
        <w:snapToGrid w:val="0"/>
        <w:spacing w:line="300" w:lineRule="auto"/>
        <w:ind w:leftChars="500"/>
        <w:rPr>
          <w:rFonts w:hint="eastAsia" w:ascii="微软雅黑" w:hAnsi="微软雅黑" w:eastAsia="微软雅黑" w:cs="微软雅黑"/>
          <w:bCs/>
          <w:szCs w:val="21"/>
          <w:lang w:val="en-US" w:eastAsia="zh-CN"/>
        </w:rPr>
      </w:pPr>
      <w:r>
        <w:rPr>
          <w:rFonts w:hint="eastAsia" w:ascii="微软雅黑" w:hAnsi="微软雅黑" w:eastAsia="微软雅黑" w:cs="微软雅黑"/>
          <w:bCs/>
          <w:szCs w:val="21"/>
          <w:lang w:val="en-US" w:eastAsia="zh-CN"/>
        </w:rPr>
        <w:t>总结并持续改善是企业交付之后的必须工作，但普遍受到忽视。</w:t>
      </w:r>
    </w:p>
    <w:p>
      <w:pPr>
        <w:numPr>
          <w:ilvl w:val="2"/>
          <w:numId w:val="1"/>
        </w:numPr>
        <w:adjustRightInd w:val="0"/>
        <w:snapToGrid w:val="0"/>
        <w:spacing w:line="300" w:lineRule="auto"/>
        <w:rPr>
          <w:rFonts w:hint="eastAsia" w:ascii="微软雅黑" w:hAnsi="微软雅黑" w:eastAsia="微软雅黑" w:cs="微软雅黑"/>
          <w:bCs/>
          <w:szCs w:val="21"/>
        </w:rPr>
      </w:pPr>
      <w:r>
        <w:rPr>
          <w:rFonts w:hint="eastAsia" w:ascii="微软雅黑" w:hAnsi="微软雅黑" w:eastAsia="微软雅黑" w:cs="微软雅黑"/>
          <w:bCs/>
          <w:szCs w:val="21"/>
        </w:rPr>
        <w:t>交房策划与组织执行的研讨分享：</w:t>
      </w:r>
    </w:p>
    <w:p>
      <w:pPr>
        <w:topLinePunct/>
        <w:adjustRightInd w:val="0"/>
        <w:snapToGrid w:val="0"/>
        <w:spacing w:line="300" w:lineRule="auto"/>
        <w:ind w:left="540" w:leftChars="257" w:firstLine="630" w:firstLineChars="300"/>
        <w:rPr>
          <w:rFonts w:hint="eastAsia" w:ascii="微软雅黑" w:hAnsi="微软雅黑" w:eastAsia="微软雅黑" w:cs="微软雅黑"/>
          <w:szCs w:val="21"/>
        </w:rPr>
      </w:pPr>
      <w:r>
        <w:rPr>
          <w:rFonts w:hint="eastAsia" w:ascii="微软雅黑" w:hAnsi="微软雅黑" w:eastAsia="微软雅黑" w:cs="微软雅黑"/>
          <w:bCs/>
          <w:szCs w:val="21"/>
        </w:rPr>
        <w:t>我们最需要借鉴和改善的是什么？行动计划与责任？...</w:t>
      </w:r>
    </w:p>
    <w:p>
      <w:pPr>
        <w:adjustRightInd w:val="0"/>
        <w:snapToGrid w:val="0"/>
        <w:spacing w:line="300" w:lineRule="auto"/>
        <w:ind w:left="420"/>
        <w:jc w:val="center"/>
        <w:rPr>
          <w:rFonts w:hint="eastAsia" w:ascii="微软雅黑" w:hAnsi="微软雅黑" w:eastAsia="微软雅黑" w:cs="微软雅黑"/>
          <w:b/>
          <w:szCs w:val="21"/>
          <w:shd w:val="pct10" w:color="auto" w:fill="FFFFFF"/>
        </w:rPr>
      </w:pPr>
    </w:p>
    <w:p>
      <w:pPr>
        <w:adjustRightInd w:val="0"/>
        <w:snapToGrid w:val="0"/>
        <w:spacing w:line="300" w:lineRule="auto"/>
        <w:ind w:left="420"/>
        <w:jc w:val="center"/>
        <w:rPr>
          <w:rFonts w:hint="eastAsia" w:ascii="微软雅黑" w:hAnsi="微软雅黑" w:eastAsia="微软雅黑" w:cs="微软雅黑"/>
          <w:b/>
          <w:sz w:val="24"/>
          <w:shd w:val="pct10" w:color="auto" w:fill="FFFFFF"/>
        </w:rPr>
      </w:pPr>
      <w:r>
        <w:rPr>
          <w:rFonts w:hint="eastAsia" w:ascii="微软雅黑" w:hAnsi="微软雅黑" w:eastAsia="微软雅黑" w:cs="微软雅黑"/>
          <w:b/>
          <w:sz w:val="24"/>
          <w:shd w:val="pct10" w:color="auto" w:fill="FFFFFF"/>
        </w:rPr>
        <w:t>第二天上午：《交房纠纷与风险的应对管控》</w:t>
      </w:r>
    </w:p>
    <w:p>
      <w:pPr>
        <w:numPr>
          <w:ilvl w:val="0"/>
          <w:numId w:val="7"/>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房企需要管控交房引发的群诉纠纷与风险</w:t>
      </w:r>
      <w:r>
        <w:rPr>
          <w:rFonts w:hint="eastAsia" w:ascii="微软雅黑" w:hAnsi="微软雅黑" w:eastAsia="微软雅黑" w:cs="微软雅黑"/>
          <w:b/>
          <w:szCs w:val="21"/>
          <w:lang w:val="en-US" w:eastAsia="zh-CN"/>
        </w:rPr>
        <w:t xml:space="preserve">  </w:t>
      </w:r>
    </w:p>
    <w:p>
      <w:pPr>
        <w:numPr>
          <w:ilvl w:val="2"/>
          <w:numId w:val="7"/>
        </w:numPr>
        <w:adjustRightInd w:val="0"/>
        <w:snapToGrid w:val="0"/>
        <w:spacing w:line="300" w:lineRule="auto"/>
        <w:rPr>
          <w:rFonts w:hint="eastAsia" w:ascii="微软雅黑" w:hAnsi="微软雅黑" w:eastAsia="微软雅黑" w:cs="微软雅黑"/>
          <w:b w:val="0"/>
          <w:bCs w:val="0"/>
          <w:szCs w:val="21"/>
        </w:rPr>
      </w:pPr>
      <w:r>
        <w:rPr>
          <w:rFonts w:hint="eastAsia" w:ascii="微软雅黑" w:hAnsi="微软雅黑" w:eastAsia="微软雅黑" w:cs="微软雅黑"/>
          <w:b w:val="0"/>
          <w:bCs w:val="0"/>
          <w:szCs w:val="21"/>
        </w:rPr>
        <w:t>房企交房的现实困境与忧虑</w:t>
      </w:r>
    </w:p>
    <w:p>
      <w:pPr>
        <w:numPr>
          <w:ilvl w:val="2"/>
          <w:numId w:val="7"/>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常见的交房投诉与纠纷</w:t>
      </w:r>
    </w:p>
    <w:p>
      <w:pPr>
        <w:numPr>
          <w:ilvl w:val="2"/>
          <w:numId w:val="7"/>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投诉纠纷处置不当演变为风险冲突</w:t>
      </w:r>
    </w:p>
    <w:p>
      <w:pPr>
        <w:numPr>
          <w:ilvl w:val="2"/>
          <w:numId w:val="7"/>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业主维权的升级演变趋势</w:t>
      </w:r>
    </w:p>
    <w:p>
      <w:pPr>
        <w:numPr>
          <w:ilvl w:val="0"/>
          <w:numId w:val="7"/>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交房群诉纠纷增多\激化的六大因素</w:t>
      </w:r>
      <w:r>
        <w:rPr>
          <w:rFonts w:hint="eastAsia" w:ascii="微软雅黑" w:hAnsi="微软雅黑" w:eastAsia="微软雅黑" w:cs="微软雅黑"/>
          <w:b/>
          <w:szCs w:val="21"/>
          <w:lang w:eastAsia="zh-CN"/>
        </w:rPr>
        <w:t>（</w:t>
      </w:r>
      <w:r>
        <w:rPr>
          <w:rFonts w:hint="eastAsia" w:ascii="微软雅黑" w:hAnsi="微软雅黑" w:eastAsia="微软雅黑" w:cs="微软雅黑"/>
          <w:b/>
          <w:szCs w:val="21"/>
          <w:lang w:val="en-US" w:eastAsia="zh-CN"/>
        </w:rPr>
        <w:t>略过</w:t>
      </w:r>
      <w:r>
        <w:rPr>
          <w:rFonts w:hint="eastAsia" w:ascii="微软雅黑" w:hAnsi="微软雅黑" w:eastAsia="微软雅黑" w:cs="微软雅黑"/>
          <w:b/>
          <w:szCs w:val="21"/>
          <w:lang w:eastAsia="zh-CN"/>
        </w:rPr>
        <w:t>）</w:t>
      </w:r>
    </w:p>
    <w:p>
      <w:pPr>
        <w:numPr>
          <w:ilvl w:val="0"/>
          <w:numId w:val="7"/>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如何应对交房纠纷或风险冲突</w:t>
      </w:r>
    </w:p>
    <w:p>
      <w:pPr>
        <w:numPr>
          <w:ilvl w:val="2"/>
          <w:numId w:val="7"/>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预控减少交房投诉</w:t>
      </w:r>
      <w:r>
        <w:rPr>
          <w:rFonts w:hint="eastAsia" w:ascii="微软雅黑" w:hAnsi="微软雅黑" w:eastAsia="微软雅黑" w:cs="微软雅黑"/>
          <w:szCs w:val="21"/>
        </w:rPr>
        <w:t>的常规的方法</w:t>
      </w:r>
    </w:p>
    <w:p>
      <w:pPr>
        <w:numPr>
          <w:ilvl w:val="2"/>
          <w:numId w:val="7"/>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预研：棘手的交房纠纷场景及应对</w:t>
      </w:r>
    </w:p>
    <w:p>
      <w:pPr>
        <w:adjustRightInd w:val="0"/>
        <w:snapToGrid w:val="0"/>
        <w:spacing w:line="300" w:lineRule="auto"/>
        <w:ind w:left="1260"/>
        <w:rPr>
          <w:rFonts w:hint="eastAsia" w:ascii="微软雅黑" w:hAnsi="微软雅黑" w:eastAsia="微软雅黑" w:cs="微软雅黑"/>
          <w:szCs w:val="21"/>
          <w:lang w:val="en-US" w:eastAsia="zh-CN"/>
        </w:rPr>
      </w:pPr>
      <w:r>
        <w:rPr>
          <w:rFonts w:hint="eastAsia" w:ascii="微软雅黑" w:hAnsi="微软雅黑" w:eastAsia="微软雅黑" w:cs="微软雅黑"/>
          <w:szCs w:val="21"/>
        </w:rPr>
        <w:t>棘手的群诉，难以用技巧解决，必须依靠系统性方法处理</w:t>
      </w:r>
      <w:r>
        <w:rPr>
          <w:rFonts w:hint="eastAsia" w:ascii="微软雅黑" w:hAnsi="微软雅黑" w:eastAsia="微软雅黑" w:cs="微软雅黑"/>
          <w:szCs w:val="21"/>
          <w:lang w:val="en-US" w:eastAsia="zh-CN"/>
        </w:rPr>
        <w:t xml:space="preserve">       </w:t>
      </w:r>
    </w:p>
    <w:p>
      <w:pPr>
        <w:numPr>
          <w:ilvl w:val="0"/>
          <w:numId w:val="0"/>
        </w:numPr>
        <w:adjustRightInd w:val="0"/>
        <w:snapToGrid w:val="0"/>
        <w:ind w:left="840" w:leftChars="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通过本章的研讨，大多数学员会发现自己的企业、项目、团队没有系统探讨、培训和演练过如何应对处理各种复杂客户投诉与纠纷的应对思路与措施。反映出系统观、知识、经验的短板，从而促进学员进一步学习的欲望和兴趣。</w:t>
      </w:r>
    </w:p>
    <w:p>
      <w:pPr>
        <w:numPr>
          <w:ilvl w:val="0"/>
          <w:numId w:val="7"/>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掌握交房引发投诉风险的规律</w:t>
      </w:r>
      <w:r>
        <w:rPr>
          <w:rFonts w:hint="eastAsia" w:ascii="微软雅黑" w:hAnsi="微软雅黑" w:eastAsia="微软雅黑" w:cs="微软雅黑"/>
          <w:b/>
          <w:szCs w:val="21"/>
          <w:lang w:val="en-US" w:eastAsia="zh-CN"/>
        </w:rPr>
        <w:t xml:space="preserve">    0.5小时</w:t>
      </w:r>
    </w:p>
    <w:p>
      <w:pPr>
        <w:numPr>
          <w:ilvl w:val="2"/>
          <w:numId w:val="7"/>
        </w:numPr>
        <w:adjustRightInd w:val="0"/>
        <w:snapToGrid w:val="0"/>
        <w:spacing w:line="300" w:lineRule="auto"/>
        <w:rPr>
          <w:rFonts w:hint="eastAsia" w:ascii="微软雅黑" w:hAnsi="微软雅黑" w:eastAsia="微软雅黑" w:cs="微软雅黑"/>
          <w:bCs/>
          <w:szCs w:val="21"/>
        </w:rPr>
      </w:pPr>
      <w:r>
        <w:rPr>
          <w:rFonts w:hint="eastAsia" w:ascii="微软雅黑" w:hAnsi="微软雅黑" w:eastAsia="微软雅黑" w:cs="微软雅黑"/>
          <w:bCs/>
          <w:szCs w:val="21"/>
        </w:rPr>
        <w:t>纠纷发生的“因”与“缘”</w:t>
      </w:r>
    </w:p>
    <w:p>
      <w:pPr>
        <w:numPr>
          <w:ilvl w:val="2"/>
          <w:numId w:val="7"/>
        </w:numPr>
        <w:adjustRightInd w:val="0"/>
        <w:snapToGrid w:val="0"/>
        <w:spacing w:line="300" w:lineRule="auto"/>
        <w:rPr>
          <w:rFonts w:hint="eastAsia" w:ascii="微软雅黑" w:hAnsi="微软雅黑" w:eastAsia="微软雅黑" w:cs="微软雅黑"/>
          <w:bCs/>
          <w:szCs w:val="21"/>
        </w:rPr>
      </w:pPr>
      <w:r>
        <w:rPr>
          <w:rFonts w:hint="eastAsia" w:ascii="微软雅黑" w:hAnsi="微软雅黑" w:eastAsia="微软雅黑" w:cs="微软雅黑"/>
          <w:bCs/>
          <w:szCs w:val="21"/>
        </w:rPr>
        <w:t>投诉客户的普遍心态与行为特征</w:t>
      </w:r>
    </w:p>
    <w:p>
      <w:pPr>
        <w:numPr>
          <w:ilvl w:val="2"/>
          <w:numId w:val="7"/>
        </w:numPr>
        <w:adjustRightInd w:val="0"/>
        <w:snapToGrid w:val="0"/>
        <w:spacing w:line="300" w:lineRule="auto"/>
        <w:rPr>
          <w:rFonts w:hint="eastAsia" w:ascii="微软雅黑" w:hAnsi="微软雅黑" w:eastAsia="微软雅黑" w:cs="微软雅黑"/>
          <w:bCs/>
          <w:szCs w:val="21"/>
        </w:rPr>
      </w:pPr>
      <w:r>
        <w:rPr>
          <w:rFonts w:hint="eastAsia" w:ascii="微软雅黑" w:hAnsi="微软雅黑" w:eastAsia="微软雅黑" w:cs="微软雅黑"/>
          <w:bCs/>
          <w:szCs w:val="21"/>
        </w:rPr>
        <w:t>交房期客户投诉-纠纷的基本规律</w:t>
      </w:r>
    </w:p>
    <w:p>
      <w:pPr>
        <w:numPr>
          <w:ilvl w:val="2"/>
          <w:numId w:val="7"/>
        </w:numPr>
        <w:adjustRightInd w:val="0"/>
        <w:snapToGrid w:val="0"/>
        <w:spacing w:line="300" w:lineRule="auto"/>
        <w:rPr>
          <w:rFonts w:hint="eastAsia" w:ascii="微软雅黑" w:hAnsi="微软雅黑" w:eastAsia="微软雅黑" w:cs="微软雅黑"/>
          <w:bCs/>
          <w:szCs w:val="21"/>
        </w:rPr>
      </w:pPr>
      <w:r>
        <w:rPr>
          <w:rFonts w:hint="eastAsia" w:ascii="微软雅黑" w:hAnsi="微软雅黑" w:eastAsia="微软雅黑" w:cs="微软雅黑"/>
          <w:bCs/>
          <w:szCs w:val="21"/>
        </w:rPr>
        <w:t>客户不满升级的演变模式</w:t>
      </w:r>
    </w:p>
    <w:p>
      <w:pPr>
        <w:numPr>
          <w:ilvl w:val="2"/>
          <w:numId w:val="7"/>
        </w:numPr>
        <w:adjustRightInd w:val="0"/>
        <w:snapToGrid w:val="0"/>
        <w:spacing w:line="300" w:lineRule="auto"/>
        <w:rPr>
          <w:rFonts w:hint="eastAsia" w:ascii="微软雅黑" w:hAnsi="微软雅黑" w:eastAsia="微软雅黑" w:cs="微软雅黑"/>
          <w:bCs/>
          <w:szCs w:val="21"/>
        </w:rPr>
      </w:pPr>
      <w:r>
        <w:rPr>
          <w:rFonts w:hint="eastAsia" w:ascii="微软雅黑" w:hAnsi="微软雅黑" w:eastAsia="微软雅黑" w:cs="微软雅黑"/>
          <w:bCs/>
          <w:szCs w:val="21"/>
        </w:rPr>
        <w:t>交房投诉与风险管控的5大环节</w:t>
      </w:r>
    </w:p>
    <w:p>
      <w:pPr>
        <w:numPr>
          <w:ilvl w:val="2"/>
          <w:numId w:val="7"/>
        </w:numPr>
        <w:adjustRightInd w:val="0"/>
        <w:snapToGrid w:val="0"/>
        <w:spacing w:line="300" w:lineRule="auto"/>
        <w:rPr>
          <w:rFonts w:hint="eastAsia" w:ascii="微软雅黑" w:hAnsi="微软雅黑" w:eastAsia="微软雅黑" w:cs="微软雅黑"/>
          <w:bCs/>
          <w:szCs w:val="21"/>
        </w:rPr>
      </w:pPr>
      <w:r>
        <w:rPr>
          <w:rFonts w:hint="eastAsia" w:ascii="微软雅黑" w:hAnsi="微软雅黑" w:eastAsia="微软雅黑" w:cs="微软雅黑"/>
          <w:bCs/>
          <w:szCs w:val="21"/>
        </w:rPr>
        <w:t>投诉与风险管控核心原则</w:t>
      </w:r>
    </w:p>
    <w:p>
      <w:pPr>
        <w:numPr>
          <w:ilvl w:val="0"/>
          <w:numId w:val="0"/>
        </w:numPr>
        <w:adjustRightInd w:val="0"/>
        <w:snapToGrid w:val="0"/>
        <w:spacing w:line="300" w:lineRule="auto"/>
        <w:ind w:left="840" w:leftChars="0"/>
        <w:rPr>
          <w:rFonts w:hint="eastAsia" w:ascii="微软雅黑" w:hAnsi="微软雅黑" w:eastAsia="微软雅黑" w:cs="微软雅黑"/>
          <w:bCs/>
          <w:szCs w:val="21"/>
          <w:lang w:val="en-US" w:eastAsia="zh-CN"/>
        </w:rPr>
      </w:pPr>
      <w:r>
        <w:rPr>
          <w:rFonts w:hint="eastAsia" w:ascii="微软雅黑" w:hAnsi="微软雅黑" w:eastAsia="微软雅黑" w:cs="微软雅黑"/>
          <w:bCs/>
          <w:szCs w:val="21"/>
          <w:lang w:val="en-US" w:eastAsia="zh-CN"/>
        </w:rPr>
        <w:t>掌握基本原理，才能充分理解掌握后面学习的方法规律并举一反三运用。</w:t>
      </w:r>
    </w:p>
    <w:p>
      <w:pPr>
        <w:numPr>
          <w:ilvl w:val="0"/>
          <w:numId w:val="7"/>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交房投诉与风险管控实务（重点）</w:t>
      </w:r>
      <w:r>
        <w:rPr>
          <w:rFonts w:hint="eastAsia" w:ascii="微软雅黑" w:hAnsi="微软雅黑" w:eastAsia="微软雅黑" w:cs="微软雅黑"/>
          <w:b/>
          <w:szCs w:val="21"/>
          <w:lang w:val="en-US" w:eastAsia="zh-CN"/>
        </w:rPr>
        <w:t xml:space="preserve">    约5小时</w:t>
      </w:r>
    </w:p>
    <w:p>
      <w:pPr>
        <w:numPr>
          <w:ilvl w:val="2"/>
          <w:numId w:val="7"/>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群诉风险预控期：</w:t>
      </w:r>
    </w:p>
    <w:p>
      <w:pPr>
        <w:adjustRightInd w:val="0"/>
        <w:snapToGrid w:val="0"/>
        <w:spacing w:line="300" w:lineRule="auto"/>
        <w:ind w:left="1260"/>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涉及：</w:t>
      </w:r>
      <w:r>
        <w:rPr>
          <w:rFonts w:hint="eastAsia" w:ascii="微软雅黑" w:hAnsi="微软雅黑" w:eastAsia="微软雅黑" w:cs="微软雅黑"/>
          <w:szCs w:val="21"/>
        </w:rPr>
        <w:t>组建风险管理机构，排查交房风险，实施整改预控操作要点与案例解析，目的在于发现群诉隐患并消除，或建立预案跟踪；</w:t>
      </w:r>
    </w:p>
    <w:p>
      <w:pPr>
        <w:adjustRightInd w:val="0"/>
        <w:snapToGrid w:val="0"/>
        <w:ind w:left="420" w:leftChars="200" w:firstLine="840" w:firstLineChars="40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对比解读企业普遍的误区：</w:t>
      </w:r>
    </w:p>
    <w:p>
      <w:pPr>
        <w:numPr>
          <w:ilvl w:val="0"/>
          <w:numId w:val="8"/>
        </w:numPr>
        <w:adjustRightInd w:val="0"/>
        <w:snapToGrid w:val="0"/>
        <w:ind w:left="1685" w:leftChars="0" w:hanging="425" w:firstLineChars="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交房组织与风控权威不够</w:t>
      </w:r>
    </w:p>
    <w:p>
      <w:pPr>
        <w:numPr>
          <w:ilvl w:val="0"/>
          <w:numId w:val="8"/>
        </w:numPr>
        <w:adjustRightInd w:val="0"/>
        <w:snapToGrid w:val="0"/>
        <w:ind w:left="1685" w:leftChars="0" w:hanging="425" w:firstLineChars="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风险排查粗略、漏项</w:t>
      </w:r>
    </w:p>
    <w:p>
      <w:pPr>
        <w:numPr>
          <w:ilvl w:val="0"/>
          <w:numId w:val="8"/>
        </w:numPr>
        <w:adjustRightInd w:val="0"/>
        <w:snapToGrid w:val="0"/>
        <w:ind w:left="1685" w:leftChars="0" w:hanging="425" w:firstLineChars="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隐患整改滞后马虎</w:t>
      </w:r>
    </w:p>
    <w:p>
      <w:pPr>
        <w:numPr>
          <w:ilvl w:val="0"/>
          <w:numId w:val="8"/>
        </w:numPr>
        <w:adjustRightInd w:val="0"/>
        <w:snapToGrid w:val="0"/>
        <w:ind w:left="1685" w:leftChars="0" w:hanging="425" w:firstLineChars="0"/>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客群关系肤浅...</w:t>
      </w:r>
    </w:p>
    <w:p>
      <w:pPr>
        <w:numPr>
          <w:ilvl w:val="2"/>
          <w:numId w:val="7"/>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群诉风险酝酿期：</w:t>
      </w:r>
    </w:p>
    <w:p>
      <w:pPr>
        <w:adjustRightInd w:val="0"/>
        <w:snapToGrid w:val="0"/>
        <w:spacing w:line="300" w:lineRule="auto"/>
        <w:ind w:left="1260"/>
        <w:rPr>
          <w:rFonts w:hint="eastAsia" w:ascii="微软雅黑" w:hAnsi="微软雅黑" w:eastAsia="微软雅黑" w:cs="微软雅黑"/>
          <w:szCs w:val="21"/>
        </w:rPr>
      </w:pPr>
      <w:r>
        <w:rPr>
          <w:rFonts w:hint="eastAsia" w:ascii="微软雅黑" w:hAnsi="微软雅黑" w:eastAsia="微软雅黑" w:cs="微软雅黑"/>
          <w:szCs w:val="21"/>
        </w:rPr>
        <w:t>目的在于发现苗头，快速反应，把群诉消灭在萌芽状态，解析本阶段群诉发展的规律及应对要点和案例分享。</w:t>
      </w:r>
    </w:p>
    <w:p>
      <w:pPr>
        <w:adjustRightInd w:val="0"/>
        <w:snapToGrid w:val="0"/>
        <w:spacing w:line="300" w:lineRule="auto"/>
        <w:ind w:left="1260"/>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 xml:space="preserve">同时对比揭示出行业的普遍短板：缺乏敏感度、内外部沟通不力等...  </w:t>
      </w:r>
    </w:p>
    <w:p>
      <w:pPr>
        <w:numPr>
          <w:ilvl w:val="2"/>
          <w:numId w:val="7"/>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群诉爆发期：</w:t>
      </w:r>
      <w:r>
        <w:rPr>
          <w:rFonts w:hint="eastAsia" w:ascii="微软雅黑" w:hAnsi="微软雅黑" w:eastAsia="微软雅黑" w:cs="微软雅黑"/>
          <w:szCs w:val="21"/>
          <w:lang w:val="en-US" w:eastAsia="zh-CN"/>
        </w:rPr>
        <w:t>重点，约</w:t>
      </w:r>
    </w:p>
    <w:p>
      <w:pPr>
        <w:adjustRightInd w:val="0"/>
        <w:snapToGrid w:val="0"/>
        <w:spacing w:line="300" w:lineRule="auto"/>
        <w:ind w:left="1260"/>
        <w:rPr>
          <w:rFonts w:hint="eastAsia" w:ascii="微软雅黑" w:hAnsi="微软雅黑" w:eastAsia="微软雅黑" w:cs="微软雅黑"/>
          <w:szCs w:val="21"/>
        </w:rPr>
      </w:pPr>
      <w:r>
        <w:rPr>
          <w:rFonts w:hint="eastAsia" w:ascii="微软雅黑" w:hAnsi="微软雅黑" w:eastAsia="微软雅黑" w:cs="微软雅黑"/>
          <w:szCs w:val="21"/>
        </w:rPr>
        <w:t>分析群诉爆发期间的业主、社会、媒体、官方等行为规律，指出应对思路、策略和措施要点、，通过案例解析，让学员全面了解应对群体冲突的方法、媒体舆论应对等。</w:t>
      </w:r>
    </w:p>
    <w:p>
      <w:pPr>
        <w:numPr>
          <w:ilvl w:val="2"/>
          <w:numId w:val="7"/>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处置转化期及善后期工作要点。</w:t>
      </w:r>
    </w:p>
    <w:p>
      <w:pPr>
        <w:numPr>
          <w:ilvl w:val="0"/>
          <w:numId w:val="0"/>
        </w:numPr>
        <w:adjustRightInd w:val="0"/>
        <w:snapToGrid w:val="0"/>
        <w:ind w:left="1260" w:leftChars="600" w:firstLine="420" w:firstLineChars="200"/>
        <w:rPr>
          <w:rFonts w:hint="eastAsia" w:ascii="微软雅黑" w:hAnsi="微软雅黑" w:eastAsia="微软雅黑" w:cs="微软雅黑"/>
          <w:szCs w:val="21"/>
        </w:rPr>
      </w:pPr>
      <w:r>
        <w:rPr>
          <w:rFonts w:hint="eastAsia" w:ascii="微软雅黑" w:hAnsi="微软雅黑" w:eastAsia="微软雅黑" w:cs="微软雅黑"/>
          <w:szCs w:val="21"/>
          <w:lang w:val="en-US" w:eastAsia="zh-CN"/>
        </w:rPr>
        <w:t>大量案例研讨对比，不仅对学员实施面对群诉的心理建设、更是解读千变万化技巧方法后面的根本方法论，许多学员反映：过去虽然处理投诉的经验很多，但偏于零散，通过本次学习</w:t>
      </w:r>
      <w:r>
        <w:rPr>
          <w:rFonts w:hint="eastAsia" w:ascii="微软雅黑" w:hAnsi="微软雅黑" w:eastAsia="微软雅黑" w:cs="微软雅黑"/>
          <w:szCs w:val="21"/>
        </w:rPr>
        <w:t>系统性梳理，</w:t>
      </w:r>
      <w:r>
        <w:rPr>
          <w:rFonts w:hint="eastAsia" w:ascii="微软雅黑" w:hAnsi="微软雅黑" w:eastAsia="微软雅黑" w:cs="微软雅黑"/>
          <w:szCs w:val="21"/>
          <w:lang w:val="en-US" w:eastAsia="zh-CN"/>
        </w:rPr>
        <w:t>，前后贯穿，找到了主线，明显提升了交房组织的整体性、提升了应对投诉的系统性思维与方法的多样性。</w:t>
      </w:r>
      <w:r>
        <w:rPr>
          <w:rFonts w:hint="eastAsia" w:ascii="微软雅黑" w:hAnsi="微软雅黑" w:eastAsia="微软雅黑" w:cs="微软雅黑"/>
          <w:szCs w:val="21"/>
        </w:rPr>
        <w:t>增加</w:t>
      </w:r>
      <w:r>
        <w:rPr>
          <w:rFonts w:hint="eastAsia" w:ascii="微软雅黑" w:hAnsi="微软雅黑" w:eastAsia="微软雅黑" w:cs="微软雅黑"/>
          <w:szCs w:val="21"/>
          <w:lang w:val="en-US" w:eastAsia="zh-CN"/>
        </w:rPr>
        <w:t>了</w:t>
      </w:r>
      <w:r>
        <w:rPr>
          <w:rFonts w:hint="eastAsia" w:ascii="微软雅黑" w:hAnsi="微软雅黑" w:eastAsia="微软雅黑" w:cs="微软雅黑"/>
          <w:szCs w:val="21"/>
        </w:rPr>
        <w:t>面对困难的勇气和底气。</w:t>
      </w:r>
    </w:p>
    <w:p>
      <w:pPr>
        <w:adjustRightInd w:val="0"/>
        <w:snapToGrid w:val="0"/>
        <w:spacing w:line="300" w:lineRule="auto"/>
        <w:ind w:left="420"/>
        <w:jc w:val="center"/>
        <w:rPr>
          <w:rFonts w:hint="eastAsia" w:ascii="微软雅黑" w:hAnsi="微软雅黑" w:eastAsia="微软雅黑" w:cs="微软雅黑"/>
          <w:b/>
          <w:sz w:val="24"/>
          <w:shd w:val="pct10" w:color="auto" w:fill="FFFFFF"/>
        </w:rPr>
      </w:pPr>
    </w:p>
    <w:p>
      <w:pPr>
        <w:adjustRightInd w:val="0"/>
        <w:snapToGrid w:val="0"/>
        <w:spacing w:line="300" w:lineRule="auto"/>
        <w:ind w:left="420"/>
        <w:jc w:val="center"/>
        <w:rPr>
          <w:rFonts w:hint="eastAsia" w:ascii="微软雅黑" w:hAnsi="微软雅黑" w:eastAsia="微软雅黑" w:cs="微软雅黑"/>
          <w:b/>
          <w:sz w:val="24"/>
          <w:shd w:val="pct10" w:color="auto" w:fill="FFFFFF"/>
          <w:lang w:val="en-US" w:eastAsia="zh-CN"/>
        </w:rPr>
      </w:pPr>
      <w:r>
        <w:rPr>
          <w:rFonts w:hint="eastAsia" w:ascii="微软雅黑" w:hAnsi="微软雅黑" w:eastAsia="微软雅黑" w:cs="微软雅黑"/>
          <w:b/>
          <w:sz w:val="24"/>
          <w:shd w:val="pct10" w:color="auto" w:fill="FFFFFF"/>
        </w:rPr>
        <w:t>第二天下午末段：《交房与工程瑕疵整改》</w:t>
      </w:r>
      <w:r>
        <w:rPr>
          <w:rFonts w:hint="eastAsia" w:ascii="微软雅黑" w:hAnsi="微软雅黑" w:eastAsia="微软雅黑" w:cs="微软雅黑"/>
          <w:b/>
          <w:sz w:val="24"/>
          <w:shd w:val="pct10" w:color="auto" w:fill="FFFFFF"/>
          <w:lang w:val="en-US" w:eastAsia="zh-CN"/>
        </w:rPr>
        <w:t xml:space="preserve">  约1-</w:t>
      </w:r>
      <w:bookmarkStart w:id="1" w:name="_GoBack"/>
      <w:bookmarkEnd w:id="1"/>
      <w:r>
        <w:rPr>
          <w:rFonts w:hint="eastAsia" w:ascii="微软雅黑" w:hAnsi="微软雅黑" w:eastAsia="微软雅黑" w:cs="微软雅黑"/>
          <w:b/>
          <w:sz w:val="24"/>
          <w:shd w:val="pct10" w:color="auto" w:fill="FFFFFF"/>
          <w:lang w:val="en-US" w:eastAsia="zh-CN"/>
        </w:rPr>
        <w:t>1.5小时</w:t>
      </w:r>
    </w:p>
    <w:p>
      <w:pPr>
        <w:adjustRightInd w:val="0"/>
        <w:snapToGrid w:val="0"/>
        <w:spacing w:line="300" w:lineRule="auto"/>
        <w:ind w:left="420"/>
        <w:jc w:val="center"/>
        <w:rPr>
          <w:rFonts w:hint="eastAsia" w:ascii="微软雅黑" w:hAnsi="微软雅黑" w:eastAsia="微软雅黑" w:cs="微软雅黑"/>
          <w:bCs/>
          <w:szCs w:val="21"/>
          <w:shd w:val="pct10" w:color="auto" w:fill="FFFFFF"/>
        </w:rPr>
      </w:pPr>
      <w:bookmarkStart w:id="0" w:name="_Hlk104972268"/>
      <w:r>
        <w:rPr>
          <w:rFonts w:hint="eastAsia" w:ascii="微软雅黑" w:hAnsi="微软雅黑" w:eastAsia="微软雅黑" w:cs="微软雅黑"/>
          <w:bCs/>
          <w:szCs w:val="21"/>
          <w:shd w:val="pct10" w:color="auto" w:fill="FFFFFF"/>
        </w:rPr>
        <w:t>（备选：根据课程时间宽裕度酌情讲解）</w:t>
      </w:r>
    </w:p>
    <w:bookmarkEnd w:id="0"/>
    <w:p>
      <w:pPr>
        <w:numPr>
          <w:ilvl w:val="0"/>
          <w:numId w:val="9"/>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为何交房必须重视整改？</w:t>
      </w:r>
    </w:p>
    <w:p>
      <w:pPr>
        <w:numPr>
          <w:ilvl w:val="2"/>
          <w:numId w:val="9"/>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整改对交房的价值</w:t>
      </w:r>
    </w:p>
    <w:p>
      <w:pPr>
        <w:numPr>
          <w:ilvl w:val="2"/>
          <w:numId w:val="9"/>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万科的教训（质量瑕疵纠纷与企业风险处置）</w:t>
      </w:r>
    </w:p>
    <w:p>
      <w:pPr>
        <w:numPr>
          <w:ilvl w:val="0"/>
          <w:numId w:val="0"/>
        </w:numPr>
        <w:adjustRightInd w:val="0"/>
        <w:snapToGrid w:val="0"/>
        <w:spacing w:line="300" w:lineRule="auto"/>
        <w:ind w:left="840" w:leftChars="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---提升企业各个部门对于工程瑕疵整改的重要性！（这是行业人的普遍短板！）</w:t>
      </w:r>
    </w:p>
    <w:p>
      <w:pPr>
        <w:numPr>
          <w:ilvl w:val="0"/>
          <w:numId w:val="9"/>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整改的困惑与痛苦</w:t>
      </w:r>
      <w:r>
        <w:rPr>
          <w:rFonts w:hint="eastAsia" w:ascii="微软雅黑" w:hAnsi="微软雅黑" w:eastAsia="微软雅黑" w:cs="微软雅黑"/>
          <w:b/>
          <w:szCs w:val="21"/>
          <w:lang w:val="en-US" w:eastAsia="zh-CN"/>
        </w:rPr>
        <w:t>如何突破？</w:t>
      </w:r>
      <w:r>
        <w:rPr>
          <w:rFonts w:hint="eastAsia" w:ascii="微软雅黑" w:hAnsi="微软雅黑" w:eastAsia="微软雅黑" w:cs="微软雅黑"/>
          <w:b/>
          <w:szCs w:val="21"/>
        </w:rPr>
        <w:t>标杆企业交房与工程整改演变</w:t>
      </w:r>
    </w:p>
    <w:p>
      <w:pPr>
        <w:numPr>
          <w:ilvl w:val="2"/>
          <w:numId w:val="9"/>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瑕疵整改引发的内部冲突</w:t>
      </w:r>
    </w:p>
    <w:p>
      <w:pPr>
        <w:numPr>
          <w:ilvl w:val="2"/>
          <w:numId w:val="9"/>
        </w:numPr>
        <w:adjustRightInd w:val="0"/>
        <w:snapToGrid w:val="0"/>
        <w:spacing w:line="300" w:lineRule="auto"/>
        <w:rPr>
          <w:rFonts w:hint="eastAsia" w:ascii="微软雅黑" w:hAnsi="微软雅黑" w:eastAsia="微软雅黑" w:cs="微软雅黑"/>
          <w:szCs w:val="21"/>
        </w:rPr>
      </w:pPr>
      <w:r>
        <w:rPr>
          <w:rFonts w:hint="eastAsia" w:ascii="微软雅黑" w:hAnsi="微软雅黑" w:eastAsia="微软雅黑" w:cs="微软雅黑"/>
          <w:szCs w:val="21"/>
        </w:rPr>
        <w:t>精细化整改如何炼成？</w:t>
      </w:r>
      <w:r>
        <w:rPr>
          <w:rFonts w:hint="eastAsia" w:ascii="微软雅黑" w:hAnsi="微软雅黑" w:eastAsia="微软雅黑" w:cs="微软雅黑"/>
          <w:szCs w:val="21"/>
          <w:lang w:val="en-US" w:eastAsia="zh-CN"/>
        </w:rPr>
        <w:t>生死攸关方显服务的价值！</w:t>
      </w:r>
    </w:p>
    <w:p>
      <w:pPr>
        <w:numPr>
          <w:ilvl w:val="0"/>
          <w:numId w:val="9"/>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szCs w:val="21"/>
        </w:rPr>
        <w:t>前期介入，超越整改…</w:t>
      </w:r>
    </w:p>
    <w:p>
      <w:pPr>
        <w:numPr>
          <w:ilvl w:val="0"/>
          <w:numId w:val="0"/>
        </w:numPr>
        <w:adjustRightInd w:val="0"/>
        <w:snapToGrid w:val="0"/>
        <w:spacing w:line="300" w:lineRule="auto"/>
        <w:ind w:left="420" w:leftChars="200" w:firstLine="420" w:firstLineChars="20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本章节通过标杆企业用工程整改突破企业生死发展困局的案例，震耳发聩，启发企业干部：</w:t>
      </w:r>
    </w:p>
    <w:p>
      <w:pPr>
        <w:numPr>
          <w:ilvl w:val="0"/>
          <w:numId w:val="10"/>
        </w:numPr>
        <w:adjustRightInd w:val="0"/>
        <w:snapToGrid w:val="0"/>
        <w:spacing w:line="300" w:lineRule="auto"/>
        <w:ind w:left="420" w:leftChars="0" w:firstLine="420" w:firstLineChars="20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必须转变观念，以客户为导向，而不是以“规范”为导向，才能有正确的决策和行为！</w:t>
      </w:r>
    </w:p>
    <w:p>
      <w:pPr>
        <w:numPr>
          <w:ilvl w:val="0"/>
          <w:numId w:val="10"/>
        </w:numPr>
        <w:adjustRightInd w:val="0"/>
        <w:snapToGrid w:val="0"/>
        <w:spacing w:line="300" w:lineRule="auto"/>
        <w:ind w:left="420" w:leftChars="0" w:firstLine="420" w:firstLineChars="20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必须提升整改的精细化，才能赢得客户、战胜危机！</w:t>
      </w:r>
    </w:p>
    <w:p>
      <w:pPr>
        <w:numPr>
          <w:ilvl w:val="0"/>
          <w:numId w:val="10"/>
        </w:numPr>
        <w:adjustRightInd w:val="0"/>
        <w:snapToGrid w:val="0"/>
        <w:spacing w:line="300" w:lineRule="auto"/>
        <w:ind w:left="420" w:leftChars="0" w:firstLine="420" w:firstLineChars="200"/>
        <w:rPr>
          <w:rFonts w:hint="eastAsia"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必须源头思考改善，从根源超越“被动维修，越修越多”的误区，才能持续提升企业竞争力。</w:t>
      </w:r>
    </w:p>
    <w:p>
      <w:pPr>
        <w:adjustRightInd w:val="0"/>
        <w:snapToGrid w:val="0"/>
        <w:spacing w:line="300" w:lineRule="auto"/>
        <w:ind w:left="420"/>
        <w:jc w:val="center"/>
        <w:rPr>
          <w:rFonts w:hint="eastAsia" w:ascii="微软雅黑" w:hAnsi="微软雅黑" w:eastAsia="微软雅黑" w:cs="微软雅黑"/>
          <w:b/>
          <w:szCs w:val="21"/>
          <w:shd w:val="pct10" w:color="auto" w:fill="FFFFFF"/>
        </w:rPr>
      </w:pPr>
    </w:p>
    <w:p>
      <w:pPr>
        <w:adjustRightInd w:val="0"/>
        <w:snapToGrid w:val="0"/>
        <w:spacing w:line="300" w:lineRule="auto"/>
        <w:ind w:left="420"/>
        <w:jc w:val="center"/>
        <w:rPr>
          <w:rFonts w:hint="eastAsia" w:ascii="微软雅黑" w:hAnsi="微软雅黑" w:eastAsia="微软雅黑" w:cs="微软雅黑"/>
          <w:b/>
          <w:sz w:val="24"/>
          <w:shd w:val="pct10" w:color="auto" w:fill="FFFFFF"/>
          <w:lang w:val="en-US" w:eastAsia="zh-CN"/>
        </w:rPr>
      </w:pPr>
      <w:r>
        <w:rPr>
          <w:rFonts w:hint="eastAsia" w:ascii="微软雅黑" w:hAnsi="微软雅黑" w:eastAsia="微软雅黑" w:cs="微软雅黑"/>
          <w:b/>
          <w:sz w:val="24"/>
          <w:shd w:val="pct10" w:color="auto" w:fill="FFFFFF"/>
        </w:rPr>
        <w:t>第二天下午末段《以成功交房、品牌提升为目标推动房企全面改善》</w:t>
      </w:r>
      <w:r>
        <w:rPr>
          <w:rFonts w:hint="eastAsia" w:ascii="微软雅黑" w:hAnsi="微软雅黑" w:eastAsia="微软雅黑" w:cs="微软雅黑"/>
          <w:b/>
          <w:sz w:val="24"/>
          <w:shd w:val="pct10" w:color="auto" w:fill="FFFFFF"/>
          <w:lang w:val="en-US" w:eastAsia="zh-CN"/>
        </w:rPr>
        <w:t xml:space="preserve">  约0.5小时</w:t>
      </w:r>
    </w:p>
    <w:p>
      <w:pPr>
        <w:adjustRightInd w:val="0"/>
        <w:snapToGrid w:val="0"/>
        <w:spacing w:line="300" w:lineRule="auto"/>
        <w:ind w:left="420"/>
        <w:jc w:val="center"/>
        <w:rPr>
          <w:rFonts w:hint="eastAsia" w:ascii="微软雅黑" w:hAnsi="微软雅黑" w:eastAsia="微软雅黑" w:cs="微软雅黑"/>
          <w:bCs/>
          <w:szCs w:val="21"/>
          <w:shd w:val="pct10" w:color="auto" w:fill="FFFFFF"/>
        </w:rPr>
      </w:pPr>
      <w:r>
        <w:rPr>
          <w:rFonts w:hint="eastAsia" w:ascii="微软雅黑" w:hAnsi="微软雅黑" w:eastAsia="微软雅黑" w:cs="微软雅黑"/>
          <w:bCs/>
          <w:szCs w:val="21"/>
          <w:shd w:val="pct10" w:color="auto" w:fill="FFFFFF"/>
        </w:rPr>
        <w:t>（备选：根据课程时间宽裕度酌情讲解）</w:t>
      </w:r>
    </w:p>
    <w:p>
      <w:pPr>
        <w:numPr>
          <w:ilvl w:val="0"/>
          <w:numId w:val="11"/>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lang w:val="en-US" w:eastAsia="zh-CN"/>
        </w:rPr>
        <w:t>交房的成功是系统的成功</w:t>
      </w:r>
    </w:p>
    <w:p>
      <w:pPr>
        <w:numPr>
          <w:ilvl w:val="0"/>
          <w:numId w:val="12"/>
        </w:numPr>
        <w:tabs>
          <w:tab w:val="clear" w:pos="420"/>
        </w:tabs>
        <w:adjustRightInd w:val="0"/>
        <w:snapToGrid w:val="0"/>
        <w:spacing w:line="300" w:lineRule="auto"/>
        <w:ind w:left="1260" w:leftChars="0" w:hanging="420" w:firstLineChars="0"/>
        <w:rPr>
          <w:rFonts w:hint="eastAsia" w:ascii="微软雅黑" w:hAnsi="微软雅黑" w:eastAsia="微软雅黑" w:cs="微软雅黑"/>
          <w:b w:val="0"/>
          <w:bCs/>
          <w:szCs w:val="21"/>
        </w:rPr>
      </w:pPr>
      <w:r>
        <w:rPr>
          <w:rFonts w:hint="eastAsia" w:ascii="微软雅黑" w:hAnsi="微软雅黑" w:eastAsia="微软雅黑" w:cs="微软雅黑"/>
          <w:b w:val="0"/>
          <w:bCs/>
          <w:szCs w:val="21"/>
          <w:lang w:val="en-US" w:eastAsia="zh-CN"/>
        </w:rPr>
        <w:t>案例：</w:t>
      </w:r>
      <w:r>
        <w:rPr>
          <w:rFonts w:hint="eastAsia" w:ascii="微软雅黑" w:hAnsi="微软雅黑" w:eastAsia="微软雅黑" w:cs="微软雅黑"/>
          <w:b w:val="0"/>
          <w:bCs/>
          <w:szCs w:val="21"/>
        </w:rPr>
        <w:t xml:space="preserve">总裁的困惑  </w:t>
      </w:r>
      <w:r>
        <w:rPr>
          <w:rFonts w:hint="eastAsia" w:ascii="微软雅黑" w:hAnsi="微软雅黑" w:eastAsia="微软雅黑" w:cs="微软雅黑"/>
          <w:b w:val="0"/>
          <w:bCs/>
          <w:szCs w:val="21"/>
          <w:lang w:val="en-US" w:eastAsia="zh-CN"/>
        </w:rPr>
        <w:t>客服的</w:t>
      </w:r>
      <w:r>
        <w:rPr>
          <w:rFonts w:hint="eastAsia" w:ascii="微软雅黑" w:hAnsi="微软雅黑" w:eastAsia="微软雅黑" w:cs="微软雅黑"/>
          <w:b w:val="0"/>
          <w:bCs/>
          <w:szCs w:val="21"/>
        </w:rPr>
        <w:t>冤</w:t>
      </w:r>
      <w:r>
        <w:rPr>
          <w:rFonts w:hint="eastAsia" w:ascii="微软雅黑" w:hAnsi="微软雅黑" w:eastAsia="微软雅黑" w:cs="微软雅黑"/>
          <w:b w:val="0"/>
          <w:bCs/>
          <w:szCs w:val="21"/>
          <w:lang w:val="en-US" w:eastAsia="zh-CN"/>
        </w:rPr>
        <w:t>枉</w:t>
      </w:r>
    </w:p>
    <w:p>
      <w:pPr>
        <w:numPr>
          <w:ilvl w:val="0"/>
          <w:numId w:val="12"/>
        </w:numPr>
        <w:tabs>
          <w:tab w:val="clear" w:pos="420"/>
        </w:tabs>
        <w:adjustRightInd w:val="0"/>
        <w:snapToGrid w:val="0"/>
        <w:spacing w:line="300" w:lineRule="auto"/>
        <w:ind w:left="1260" w:leftChars="0" w:hanging="420" w:firstLineChars="0"/>
        <w:rPr>
          <w:rFonts w:hint="eastAsia" w:ascii="微软雅黑" w:hAnsi="微软雅黑" w:eastAsia="微软雅黑" w:cs="微软雅黑"/>
          <w:b w:val="0"/>
          <w:bCs/>
          <w:szCs w:val="21"/>
        </w:rPr>
      </w:pPr>
      <w:r>
        <w:rPr>
          <w:rFonts w:hint="eastAsia" w:ascii="微软雅黑" w:hAnsi="微软雅黑" w:eastAsia="微软雅黑" w:cs="微软雅黑"/>
          <w:b w:val="0"/>
          <w:bCs/>
          <w:szCs w:val="21"/>
          <w:lang w:val="en-US" w:eastAsia="zh-CN"/>
        </w:rPr>
        <w:t>被动整改不是终极目标</w:t>
      </w:r>
    </w:p>
    <w:p>
      <w:pPr>
        <w:numPr>
          <w:ilvl w:val="0"/>
          <w:numId w:val="12"/>
        </w:numPr>
        <w:tabs>
          <w:tab w:val="clear" w:pos="420"/>
        </w:tabs>
        <w:adjustRightInd w:val="0"/>
        <w:snapToGrid w:val="0"/>
        <w:spacing w:line="300" w:lineRule="auto"/>
        <w:ind w:left="1260" w:leftChars="0" w:hanging="420" w:firstLineChars="0"/>
        <w:rPr>
          <w:rFonts w:hint="eastAsia" w:ascii="微软雅黑" w:hAnsi="微软雅黑" w:eastAsia="微软雅黑" w:cs="微软雅黑"/>
          <w:b w:val="0"/>
          <w:bCs/>
          <w:szCs w:val="21"/>
        </w:rPr>
      </w:pPr>
      <w:r>
        <w:rPr>
          <w:rFonts w:hint="eastAsia" w:ascii="微软雅黑" w:hAnsi="微软雅黑" w:eastAsia="微软雅黑" w:cs="微软雅黑"/>
          <w:b w:val="0"/>
          <w:bCs/>
          <w:szCs w:val="21"/>
          <w:lang w:val="en-US" w:eastAsia="zh-CN"/>
        </w:rPr>
        <w:t>标杆企业系统化减少整改的实践模式</w:t>
      </w:r>
    </w:p>
    <w:p>
      <w:pPr>
        <w:numPr>
          <w:ilvl w:val="0"/>
          <w:numId w:val="12"/>
        </w:numPr>
        <w:tabs>
          <w:tab w:val="clear" w:pos="420"/>
        </w:tabs>
        <w:adjustRightInd w:val="0"/>
        <w:snapToGrid w:val="0"/>
        <w:spacing w:line="300" w:lineRule="auto"/>
        <w:ind w:left="1260" w:leftChars="0" w:hanging="420" w:firstLineChars="0"/>
        <w:rPr>
          <w:rFonts w:hint="eastAsia" w:ascii="微软雅黑" w:hAnsi="微软雅黑" w:eastAsia="微软雅黑" w:cs="微软雅黑"/>
          <w:b w:val="0"/>
          <w:bCs/>
          <w:szCs w:val="21"/>
          <w:lang w:val="en-US" w:eastAsia="zh-CN"/>
        </w:rPr>
      </w:pPr>
      <w:r>
        <w:rPr>
          <w:rFonts w:hint="eastAsia" w:ascii="微软雅黑" w:hAnsi="微软雅黑" w:eastAsia="微软雅黑" w:cs="微软雅黑"/>
          <w:b w:val="0"/>
          <w:bCs/>
          <w:szCs w:val="21"/>
          <w:lang w:val="en-US" w:eastAsia="zh-CN"/>
        </w:rPr>
        <w:t>风险管理的三个层次</w:t>
      </w:r>
    </w:p>
    <w:p>
      <w:pPr>
        <w:numPr>
          <w:ilvl w:val="0"/>
          <w:numId w:val="11"/>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rPr>
        <w:t>源头思考，</w:t>
      </w:r>
    </w:p>
    <w:p>
      <w:pPr>
        <w:numPr>
          <w:ilvl w:val="0"/>
          <w:numId w:val="13"/>
        </w:numPr>
        <w:tabs>
          <w:tab w:val="clear" w:pos="420"/>
        </w:tabs>
        <w:adjustRightInd w:val="0"/>
        <w:snapToGrid w:val="0"/>
        <w:spacing w:line="300" w:lineRule="auto"/>
        <w:ind w:left="1260" w:leftChars="0" w:hanging="420" w:firstLineChars="0"/>
        <w:rPr>
          <w:rFonts w:hint="eastAsia" w:ascii="微软雅黑" w:hAnsi="微软雅黑" w:eastAsia="微软雅黑" w:cs="微软雅黑"/>
          <w:b w:val="0"/>
          <w:bCs/>
          <w:szCs w:val="21"/>
        </w:rPr>
      </w:pPr>
      <w:r>
        <w:rPr>
          <w:rFonts w:hint="eastAsia" w:ascii="微软雅黑" w:hAnsi="微软雅黑" w:eastAsia="微软雅黑" w:cs="微软雅黑"/>
          <w:b w:val="0"/>
          <w:bCs/>
          <w:szCs w:val="21"/>
          <w:lang w:val="en-US" w:eastAsia="zh-CN"/>
        </w:rPr>
        <w:t>房地产企业经营管理的成果与逻辑</w:t>
      </w:r>
    </w:p>
    <w:p>
      <w:pPr>
        <w:numPr>
          <w:ilvl w:val="0"/>
          <w:numId w:val="13"/>
        </w:numPr>
        <w:tabs>
          <w:tab w:val="clear" w:pos="420"/>
        </w:tabs>
        <w:adjustRightInd w:val="0"/>
        <w:snapToGrid w:val="0"/>
        <w:spacing w:line="300" w:lineRule="auto"/>
        <w:ind w:left="1260" w:leftChars="0" w:hanging="420" w:firstLineChars="0"/>
        <w:rPr>
          <w:rFonts w:hint="eastAsia" w:ascii="微软雅黑" w:hAnsi="微软雅黑" w:eastAsia="微软雅黑" w:cs="微软雅黑"/>
          <w:b/>
          <w:szCs w:val="21"/>
        </w:rPr>
      </w:pPr>
      <w:r>
        <w:rPr>
          <w:rFonts w:hint="eastAsia" w:ascii="微软雅黑" w:hAnsi="微软雅黑" w:eastAsia="微软雅黑" w:cs="微软雅黑"/>
          <w:b w:val="0"/>
          <w:bCs/>
          <w:szCs w:val="21"/>
          <w:lang w:val="en-US" w:eastAsia="zh-CN"/>
        </w:rPr>
        <w:t>地产客服管理工作的整体框架与逻辑</w:t>
      </w:r>
    </w:p>
    <w:p>
      <w:pPr>
        <w:numPr>
          <w:ilvl w:val="0"/>
          <w:numId w:val="11"/>
        </w:numPr>
        <w:adjustRightInd w:val="0"/>
        <w:snapToGrid w:val="0"/>
        <w:spacing w:line="300" w:lineRule="auto"/>
        <w:rPr>
          <w:rFonts w:hint="eastAsia" w:ascii="微软雅黑" w:hAnsi="微软雅黑" w:eastAsia="微软雅黑" w:cs="微软雅黑"/>
          <w:b/>
          <w:szCs w:val="21"/>
        </w:rPr>
      </w:pPr>
      <w:r>
        <w:rPr>
          <w:rFonts w:hint="eastAsia" w:ascii="微软雅黑" w:hAnsi="微软雅黑" w:eastAsia="微软雅黑" w:cs="微软雅黑"/>
          <w:b/>
          <w:szCs w:val="21"/>
          <w:lang w:val="en-US" w:eastAsia="zh-CN"/>
        </w:rPr>
        <w:t>促进地产管理服务系统</w:t>
      </w:r>
      <w:r>
        <w:rPr>
          <w:rFonts w:hint="eastAsia" w:ascii="微软雅黑" w:hAnsi="微软雅黑" w:eastAsia="微软雅黑" w:cs="微软雅黑"/>
          <w:b/>
          <w:szCs w:val="21"/>
        </w:rPr>
        <w:t>改善</w:t>
      </w:r>
    </w:p>
    <w:p>
      <w:pPr>
        <w:numPr>
          <w:ilvl w:val="0"/>
          <w:numId w:val="0"/>
        </w:numPr>
        <w:adjustRightInd w:val="0"/>
        <w:snapToGrid w:val="0"/>
        <w:spacing w:line="300" w:lineRule="auto"/>
        <w:ind w:left="840" w:leftChars="0"/>
        <w:rPr>
          <w:rFonts w:hint="eastAsia" w:ascii="微软雅黑" w:hAnsi="微软雅黑" w:eastAsia="微软雅黑" w:cs="微软雅黑"/>
          <w:szCs w:val="21"/>
        </w:rPr>
      </w:pPr>
      <w:r>
        <w:rPr>
          <w:rFonts w:hint="eastAsia" w:ascii="微软雅黑" w:hAnsi="微软雅黑" w:eastAsia="微软雅黑" w:cs="微软雅黑"/>
          <w:szCs w:val="21"/>
        </w:rPr>
        <w:t>三大</w:t>
      </w:r>
      <w:r>
        <w:rPr>
          <w:rFonts w:hint="eastAsia" w:ascii="微软雅黑" w:hAnsi="微软雅黑" w:eastAsia="微软雅黑" w:cs="微软雅黑"/>
          <w:szCs w:val="21"/>
          <w:lang w:val="en-US" w:eastAsia="zh-CN"/>
        </w:rPr>
        <w:t>关键：文化、机制、流程方法</w:t>
      </w:r>
    </w:p>
    <w:p>
      <w:pPr>
        <w:adjustRightInd w:val="0"/>
        <w:snapToGrid w:val="0"/>
        <w:spacing w:line="300" w:lineRule="auto"/>
        <w:ind w:left="420" w:firstLine="420" w:firstLineChars="200"/>
        <w:rPr>
          <w:rFonts w:hint="eastAsia" w:ascii="微软雅黑" w:hAnsi="微软雅黑" w:eastAsia="微软雅黑" w:cs="微软雅黑"/>
          <w:b w:val="0"/>
          <w:bCs/>
          <w:szCs w:val="21"/>
          <w:lang w:val="en-US" w:eastAsia="zh-CN"/>
        </w:rPr>
      </w:pPr>
      <w:r>
        <w:rPr>
          <w:rFonts w:hint="eastAsia" w:ascii="微软雅黑" w:hAnsi="微软雅黑" w:eastAsia="微软雅黑" w:cs="微软雅黑"/>
          <w:b w:val="0"/>
          <w:bCs/>
          <w:szCs w:val="21"/>
          <w:lang w:val="en-US" w:eastAsia="zh-CN"/>
        </w:rPr>
        <w:t>本章节在于提升员工眼界思维，要从交房纠纷应对、整改工作等风险处置延伸到房地产企业经营管理服务的整体提升，从被动转向主动改善，通过探究企业经营的最终成果与逻辑，干部员工能够体悟到“项目全周期风险管理、项目全周期客户体验管理、客户全生命周期的价值管理”是房企管理服务改善提升的终极线路，各个部门在房地产的各个阶段均对客户、企业承担责任！</w:t>
      </w:r>
    </w:p>
    <w:p>
      <w:pPr>
        <w:adjustRightInd w:val="0"/>
        <w:snapToGrid w:val="0"/>
        <w:spacing w:line="300" w:lineRule="auto"/>
        <w:ind w:left="420"/>
        <w:rPr>
          <w:rFonts w:hint="eastAsia" w:ascii="微软雅黑" w:hAnsi="微软雅黑" w:eastAsia="微软雅黑" w:cs="微软雅黑"/>
          <w:b/>
          <w:szCs w:val="21"/>
          <w:lang w:val="en-US" w:eastAsia="zh-CN"/>
        </w:rPr>
      </w:pPr>
    </w:p>
    <w:p>
      <w:pPr>
        <w:numPr>
          <w:ilvl w:val="0"/>
          <w:numId w:val="1"/>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b/>
          <w:sz w:val="24"/>
        </w:rPr>
        <w:t>部分学员感受反馈：</w:t>
      </w:r>
      <w:r>
        <w:rPr>
          <w:rFonts w:hint="eastAsia" w:ascii="微软雅黑" w:hAnsi="微软雅黑" w:eastAsia="微软雅黑" w:cs="微软雅黑"/>
        </w:rPr>
        <w:t>       </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这个课程太适合当前形势下的房地产企业了！  </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实用性强，案例有借鉴作用，为交付工作提供良好的问题解决途径。</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系统的讲解了从交房前到交房后业主投诉产生的原因，到最终如何从根本上减少交房风险，提高企业的形象，业主满意度。我们单位也有相应的体系，但较标杆企业来讲有一定差距，还需继续积累。</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系统学习了交房纠纷和风险应对，以及如何预防、避免等，课程实用，易懂。</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通过孙老师的讲授，学到了：如何做到情、理、法有效的把握，有机的结合；流程化管理如何细化，落实到点等方面的知识。形象、生动，案例切合实际，易于理解、接受。</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通过两天的课程，把物业、房地产如何规避风险、应对风险，结合情理法，系统的把交房前中后的风险问题如何解决，并能结合案例，非常有效，受益匪浅。</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房地产企业品牌的实现是多环节真诚、努力而铸就的。房地产企业是做产品的企业，服务是企业的第一位的。</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很受启发和教益，为交房工作储备了非常有用的知识。</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从学习中学到很多交房方式，对专业知识的空白点，充分做了补足。</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我的感悟：1. 交房满意的体验都是“策划”的结果；传承能够加速人才成长与培养；“追根溯源”是解决问题的根本；“工程营销”可大大地促进销售，给客户良好的感受；2. 顾客使用体验是我们的目标。</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标杆企业整改模式转变，从被动而为转变主动前期管控；追根溯源提要求，想到、说到、写到、做到、记到、优化到的方式方法；每个阶段都可以和营销做配合，关注业主的体验。</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房地产开发是一个系统工作，每个环节都要认真、正确对待，抓各部门的管理，认真对业主提出来的问题，及时进行改进。</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学会处理交房过程中不同业主之间的沟通、协调，如何解决完成对“钉子户”之类客户的应对；对“国家规范”和“客户要求”有新认识。</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对交房的过程及前期的管控有很好的了解和沉淀，在以后的日常工作有很好的指导作用。</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了解龙湖等知名房企的交房过程、注意点，以及应对管控，结合自身情况，应当如何处理在交房过程中出现的问题。</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通过这次听讲，从管理的思路上有了交房时对重点要求掌握问题的管控，在下一次交付时，可以准备系统化的资料与其他部门（公司内部）沟通。</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对交房中纠纷应对是很头痛的事情，本课程提供了一些好的建议和可操作方法，很值得借鉴。</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很有实际操作的参考性和借鉴性，内容较全面，比较接地气，从中我提取到了对自己工作更有帮助的内容。</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课程内容丰富，讲解到位，比较适合公司的实操性，对企业今后交房的改善，纠纷的处理，和前期产品整改及营销有积极的借鉴意义，希望以后有机会做进一步深入沟通和指导，谢谢。</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明白了交房的最终意义、目的。交房的成功是系统的成功，明白了预验房的重要性和必要性。明白了物业全程介入的意义。感谢孙老师的讲课！</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我的收获体会：1.交房是系统工程，是果不是因。2.危机事件中，地产公司老板的态度很重要；3.情、理、法体系的应用应该在关键岗位进行深入培训、训练、应用。4.事前控制好过事中、事后处理。</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通过实例系统接触到很多交房经验及方法，了解并熟悉交房整个过程的策划、处理、解决过程，学习到了更多的交房技巧。</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对交房有了新的认识，交房是系统性的，交房的风险管控很重要。企业交房时的传承是我们公司需要重点做的。</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我认为本课程的价值是：成功交房只是第一步，交房成为营销手段，成为改善管理，完善机制的有效手段，重视传承，促进企业科学，有序发展。</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培养系统思维，能有效运用到交房及全过程对客户服务，处理客户纠纷方面，将客服思维贯穿房地产开发全过程。</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通过该课程让我对于沟通与协调方面有了全新的认识，也学习到了很多管理及沟通的技巧和方法，对工程与物业的关系更加明确，任务分工也得到很好的认识，谢谢。</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对地产开发管理思路的补充完善，在高度、广度上进行提升。交房不是目的，百年企业才是目标。</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学到了情、理、法的正确应用在解决客户问题的每个步骤及解决的方式和方法。在后期的房地产开发中，要物业、工程、销售、技术全程参与。任何工作都是以营销为主要前提。</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交房是需要多个部门参与的活动；交房环境氛围的营造切入点；物业前介对整个项目的重要性；善于总结，知识沉淀，制度传承；发生群诉处理原则；媒体的特点与引导；整改维修的管理；物业公司对承建商的评价。</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对交房的各方面工作有了新的认识，学会了如何通过交房来提升服务品质，对交房的重要性和如何做，有了结合项目的做法构思。收获很大。</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观念意识转变客户问题不仅是客服单纯解决问题，各个前端部门共同承担；群诉事件处理最好的方式是情、理、法的完美结合。</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交房不仅仅是顺利把房交出去，而是能通过一系列的组织策划，风险把控整改完善来提升交付体验，增强客户满意度及品牌溢价。</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系统完善的机制；风险管控的前置的重要性；交房顺利与否牵涉多环节多部门的协同落地总结。</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对风险预控，危机处理。知识传承等有了全面了解及深刻认识，为后期对项目管理提供了较多的借鉴。</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收获：1.面对客户投诉问题要正面对待，不能逃避。要分析客户性格心理，注意应对技巧；交付包装以细节入手，抓客户心里，现场不知能巧妙分散客户对房屋质量的关注度；2. 与客户沟通时注意掌握运用法理情结合的手法；品牌是靠设计和施工做出来的；物业和客服要重视前期的作用。</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交房“体验”落地，要舍得投入；情理法在多领域均适用，争议源于共识的难以达成，沟通以诚为根，能让对方站在我方角度去思考才是好的沟通；</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体会：1. 对房屋交付需高度重视，要提前策划好交付方案，制订突发事件应急预案，并做专项培训和演练；危机事件的处理有系统的理解；2. 对客户满意、触点管理，客户体验有新的理解，通过策划强化客户体验；“品质”管理的关键是前端“规划设计”“施工”过程的有效管控。</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很实用、很客观、很有指导性；通过学习，让自己明白今后工作的方向和目标，也学习了一流企业的管理精华，避免走弯路，方向偏离等问题。</w:t>
      </w:r>
    </w:p>
    <w:p>
      <w:pPr>
        <w:numPr>
          <w:ilvl w:val="0"/>
          <w:numId w:val="14"/>
        </w:numPr>
        <w:adjustRightInd w:val="0"/>
        <w:snapToGrid w:val="0"/>
        <w:spacing w:line="300" w:lineRule="auto"/>
        <w:rPr>
          <w:rFonts w:hint="eastAsia" w:ascii="微软雅黑" w:hAnsi="微软雅黑" w:eastAsia="微软雅黑" w:cs="微软雅黑"/>
        </w:rPr>
      </w:pPr>
      <w:r>
        <w:rPr>
          <w:rFonts w:hint="eastAsia" w:ascii="微软雅黑" w:hAnsi="微软雅黑" w:eastAsia="微软雅黑" w:cs="微软雅黑"/>
        </w:rPr>
        <w:t>收获：1.通过营销手段、策划提升业主、客户体验，通过“小故事”分享来逐步引导业主，做好企业的正向引导，做好业主与企业共创价值的引导，2.交付不只是完成任务，也不单单是履行合同，通过交付、策划与营销手段，提升满意度与品牌效益，全体系营销的重要性。</w:t>
      </w:r>
    </w:p>
    <w:p>
      <w:pPr>
        <w:widowControl/>
        <w:adjustRightInd w:val="0"/>
        <w:snapToGrid w:val="0"/>
        <w:spacing w:line="300" w:lineRule="auto"/>
        <w:rPr>
          <w:rFonts w:hint="eastAsia" w:ascii="微软雅黑" w:hAnsi="微软雅黑" w:eastAsia="微软雅黑" w:cs="微软雅黑"/>
          <w:b/>
          <w:sz w:val="24"/>
        </w:rPr>
      </w:pPr>
      <w:r>
        <w:rPr>
          <w:rFonts w:hint="eastAsia" w:ascii="微软雅黑" w:hAnsi="微软雅黑" w:eastAsia="微软雅黑" w:cs="微软雅黑"/>
          <w:b/>
          <w:sz w:val="24"/>
        </w:rPr>
        <w:t>【联系方式】</w:t>
      </w:r>
    </w:p>
    <w:p>
      <w:pPr>
        <w:widowControl/>
        <w:numPr>
          <w:ilvl w:val="0"/>
          <w:numId w:val="15"/>
        </w:numPr>
        <w:adjustRightInd w:val="0"/>
        <w:snapToGrid w:val="0"/>
        <w:spacing w:line="300" w:lineRule="auto"/>
        <w:rPr>
          <w:rFonts w:hint="eastAsia" w:ascii="微软雅黑" w:hAnsi="微软雅黑" w:eastAsia="微软雅黑" w:cs="微软雅黑"/>
          <w:bCs/>
          <w:szCs w:val="21"/>
        </w:rPr>
      </w:pPr>
      <w:r>
        <w:rPr>
          <w:rFonts w:hint="eastAsia" w:ascii="微软雅黑" w:hAnsi="微软雅黑" w:eastAsia="微软雅黑" w:cs="微软雅黑"/>
          <w:bCs/>
          <w:szCs w:val="21"/>
        </w:rPr>
        <w:t>孙凡老师联系电话：13508359518；   QQ：370090034</w:t>
      </w:r>
    </w:p>
    <w:sectPr>
      <w:footerReference r:id="rId3" w:type="default"/>
      <w:type w:val="continuous"/>
      <w:pgSz w:w="11907" w:h="16840"/>
      <w:pgMar w:top="1081" w:right="1134" w:bottom="1134" w:left="1134" w:header="851" w:footer="1055" w:gutter="0"/>
      <w:paperSrc w:first="7"/>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rPr>
        <w:rStyle w:val="6"/>
      </w:rPr>
      <w:instrText xml:space="preserve"> NUMPAGES </w:instrText>
    </w:r>
    <w:r>
      <w:fldChar w:fldCharType="separate"/>
    </w:r>
    <w:r>
      <w:rPr>
        <w:rStyle w:val="6"/>
      </w:rPr>
      <w:t>6</w:t>
    </w:r>
    <w:r>
      <w:fldChar w:fldCharType="end"/>
    </w:r>
    <w:r>
      <w:rPr>
        <w:rFonts w:ascii="宋体" w:hAnsi="宋体" w:cs="宋体"/>
        <w:kern w:val="0"/>
        <w:sz w:val="24"/>
      </w:rP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ragraph">
                <wp:posOffset>64770</wp:posOffset>
              </wp:positionV>
              <wp:extent cx="2743200" cy="39624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43200" cy="396240"/>
                      </a:xfrm>
                      <a:prstGeom prst="rect">
                        <a:avLst/>
                      </a:prstGeom>
                      <a:noFill/>
                      <a:ln>
                        <a:noFill/>
                      </a:ln>
                    </wps:spPr>
                    <wps:txbx>
                      <w:txbxContent>
                        <w:p>
                          <w:pPr>
                            <w:rPr>
                              <w:rFonts w:ascii="华文宋体" w:hAnsi="华文宋体" w:eastAsia="华文宋体"/>
                              <w:color w:val="4D4D4D"/>
                              <w:sz w:val="15"/>
                              <w:szCs w:val="15"/>
                            </w:rPr>
                          </w:pPr>
                          <w:r>
                            <w:rPr>
                              <w:rFonts w:hint="eastAsia" w:ascii="华文宋体" w:hAnsi="华文宋体" w:eastAsia="华文宋体"/>
                              <w:color w:val="4D4D4D"/>
                              <w:sz w:val="15"/>
                              <w:szCs w:val="15"/>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5.1pt;height:31.2pt;width:216pt;z-index:-251657216;mso-width-relative:page;mso-height-relative:page;" filled="f" stroked="f" coordsize="21600,21600" o:gfxdata="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rl9r7TAAAABgEAAA8AAAAAAAAA&#10;AQAgAAAAIgAAAGRycy9kb3ducmV2LnhtbFBLAQIUABQAAAAIAIdO4kDDhqEJFgIAABUEAAAOAAAA&#10;AAAAAAEAIAAAACIBAABkcnMvZTJvRG9jLnhtbFBLBQYAAAAABgAGAFkBAACqBQAAAAA=&#10;">
              <v:fill on="f" focussize="0,0"/>
              <v:stroke on="f"/>
              <v:imagedata o:title=""/>
              <o:lock v:ext="edit" aspectratio="f"/>
              <v:textbox>
                <w:txbxContent>
                  <w:p>
                    <w:pPr>
                      <w:rPr>
                        <w:rFonts w:ascii="华文宋体" w:hAnsi="华文宋体" w:eastAsia="华文宋体"/>
                        <w:color w:val="4D4D4D"/>
                        <w:sz w:val="15"/>
                        <w:szCs w:val="15"/>
                      </w:rPr>
                    </w:pPr>
                    <w:r>
                      <w:rPr>
                        <w:rFonts w:hint="eastAsia" w:ascii="华文宋体" w:hAnsi="华文宋体" w:eastAsia="华文宋体"/>
                        <w:color w:val="4D4D4D"/>
                        <w:sz w:val="15"/>
                        <w:szCs w:val="15"/>
                      </w:rPr>
                      <w:t xml:space="preserve"> </w:t>
                    </w:r>
                  </w:p>
                </w:txbxContent>
              </v:textbox>
            </v:shape>
          </w:pict>
        </mc:Fallback>
      </mc:AlternateContent>
    </w:r>
    <w:r>
      <w:rPr>
        <w:rStyle w:val="6"/>
        <w:rFonts w:hint="eastAsia"/>
      </w:rPr>
      <w:t>-</w:t>
    </w:r>
    <w:r>
      <w:fldChar w:fldCharType="begin"/>
    </w:r>
    <w:r>
      <w:rPr>
        <w:rStyle w:val="6"/>
      </w:rPr>
      <w:instrText xml:space="preserve"> PAGE </w:instrText>
    </w:r>
    <w:r>
      <w:fldChar w:fldCharType="separate"/>
    </w:r>
    <w:r>
      <w:rPr>
        <w:rStyle w:val="6"/>
      </w:rPr>
      <w:t>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52384A"/>
    <w:multiLevelType w:val="singleLevel"/>
    <w:tmpl w:val="9052384A"/>
    <w:lvl w:ilvl="0" w:tentative="0">
      <w:start w:val="1"/>
      <w:numFmt w:val="decimalEnclosedCircleChinese"/>
      <w:suff w:val="nothing"/>
      <w:lvlText w:val="%1　"/>
      <w:lvlJc w:val="left"/>
      <w:pPr>
        <w:ind w:left="840" w:firstLine="400"/>
      </w:pPr>
      <w:rPr>
        <w:rFonts w:hint="eastAsia"/>
      </w:rPr>
    </w:lvl>
  </w:abstractNum>
  <w:abstractNum w:abstractNumId="1">
    <w:nsid w:val="AF7C29C4"/>
    <w:multiLevelType w:val="singleLevel"/>
    <w:tmpl w:val="AF7C29C4"/>
    <w:lvl w:ilvl="0" w:tentative="0">
      <w:start w:val="1"/>
      <w:numFmt w:val="decimal"/>
      <w:lvlText w:val="%1."/>
      <w:lvlJc w:val="left"/>
      <w:pPr>
        <w:tabs>
          <w:tab w:val="left" w:pos="420"/>
        </w:tabs>
        <w:ind w:left="845" w:hanging="425"/>
      </w:pPr>
      <w:rPr>
        <w:rFonts w:hint="default"/>
      </w:rPr>
    </w:lvl>
  </w:abstractNum>
  <w:abstractNum w:abstractNumId="2">
    <w:nsid w:val="BCA20567"/>
    <w:multiLevelType w:val="singleLevel"/>
    <w:tmpl w:val="BCA20567"/>
    <w:lvl w:ilvl="0" w:tentative="0">
      <w:start w:val="1"/>
      <w:numFmt w:val="decimalEnclosedCircleChinese"/>
      <w:suff w:val="nothing"/>
      <w:lvlText w:val="%1　"/>
      <w:lvlJc w:val="left"/>
      <w:pPr>
        <w:ind w:left="0" w:firstLine="400"/>
      </w:pPr>
      <w:rPr>
        <w:rFonts w:hint="eastAsia"/>
      </w:rPr>
    </w:lvl>
  </w:abstractNum>
  <w:abstractNum w:abstractNumId="3">
    <w:nsid w:val="BDEE3177"/>
    <w:multiLevelType w:val="singleLevel"/>
    <w:tmpl w:val="BDEE3177"/>
    <w:lvl w:ilvl="0" w:tentative="0">
      <w:start w:val="1"/>
      <w:numFmt w:val="decimal"/>
      <w:lvlText w:val="%1."/>
      <w:lvlJc w:val="left"/>
      <w:pPr>
        <w:ind w:left="425" w:hanging="425"/>
      </w:pPr>
      <w:rPr>
        <w:rFonts w:hint="default"/>
      </w:rPr>
    </w:lvl>
  </w:abstractNum>
  <w:abstractNum w:abstractNumId="4">
    <w:nsid w:val="D61007C5"/>
    <w:multiLevelType w:val="singleLevel"/>
    <w:tmpl w:val="D61007C5"/>
    <w:lvl w:ilvl="0" w:tentative="0">
      <w:start w:val="1"/>
      <w:numFmt w:val="decimal"/>
      <w:lvlText w:val="%1."/>
      <w:lvlJc w:val="left"/>
      <w:pPr>
        <w:tabs>
          <w:tab w:val="left" w:pos="420"/>
        </w:tabs>
        <w:ind w:left="845" w:hanging="425"/>
      </w:pPr>
      <w:rPr>
        <w:rFonts w:hint="default"/>
      </w:rPr>
    </w:lvl>
  </w:abstractNum>
  <w:abstractNum w:abstractNumId="5">
    <w:nsid w:val="FA06F2A1"/>
    <w:multiLevelType w:val="singleLevel"/>
    <w:tmpl w:val="FA06F2A1"/>
    <w:lvl w:ilvl="0" w:tentative="0">
      <w:start w:val="1"/>
      <w:numFmt w:val="decimalEnclosedCircleChinese"/>
      <w:suff w:val="nothing"/>
      <w:lvlText w:val="%1　"/>
      <w:lvlJc w:val="left"/>
      <w:pPr>
        <w:ind w:left="420" w:firstLine="400"/>
      </w:pPr>
      <w:rPr>
        <w:rFonts w:hint="eastAsia"/>
      </w:rPr>
    </w:lvl>
  </w:abstractNum>
  <w:abstractNum w:abstractNumId="6">
    <w:nsid w:val="020769EE"/>
    <w:multiLevelType w:val="multilevel"/>
    <w:tmpl w:val="020769EE"/>
    <w:lvl w:ilvl="0" w:tentative="0">
      <w:start w:val="1"/>
      <w:numFmt w:val="chineseCountingThousand"/>
      <w:lvlText w:val="%1."/>
      <w:lvlJc w:val="left"/>
      <w:pPr>
        <w:tabs>
          <w:tab w:val="left" w:pos="420"/>
        </w:tabs>
        <w:ind w:left="420" w:hanging="420"/>
      </w:pPr>
      <w:rPr>
        <w:rFonts w:hint="eastAsia"/>
        <w:lang w:val="en-US"/>
      </w:rPr>
    </w:lvl>
    <w:lvl w:ilvl="1" w:tentative="0">
      <w:start w:val="1"/>
      <w:numFmt w:val="chineseCountingThousand"/>
      <w:lvlText w:val="(%2)"/>
      <w:lvlJc w:val="left"/>
      <w:pPr>
        <w:tabs>
          <w:tab w:val="left" w:pos="840"/>
        </w:tabs>
        <w:ind w:left="840" w:hanging="420"/>
      </w:pPr>
      <w:rPr>
        <w:rFonts w:hint="eastAsia"/>
        <w:lang w:val="en-US"/>
      </w:rPr>
    </w:lvl>
    <w:lvl w:ilvl="2" w:tentative="0">
      <w:start w:val="1"/>
      <w:numFmt w:val="decimal"/>
      <w:lvlText w:val="%3."/>
      <w:lvlJc w:val="left"/>
      <w:pPr>
        <w:tabs>
          <w:tab w:val="left" w:pos="1200"/>
        </w:tabs>
        <w:ind w:left="1200" w:hanging="360"/>
      </w:pPr>
      <w:rPr>
        <w:rFonts w:hint="default"/>
        <w:lang w:val="en-US"/>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23B6D1A"/>
    <w:multiLevelType w:val="multilevel"/>
    <w:tmpl w:val="223B6D1A"/>
    <w:lvl w:ilvl="0" w:tentative="0">
      <w:start w:val="1"/>
      <w:numFmt w:val="chineseCountingThousand"/>
      <w:lvlText w:val="(%1)"/>
      <w:lvlJc w:val="left"/>
      <w:pPr>
        <w:tabs>
          <w:tab w:val="left" w:pos="8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60"/>
        </w:tabs>
        <w:ind w:left="1260" w:hanging="420"/>
      </w:pPr>
      <w:rPr>
        <w:rFonts w:hint="eastAsia"/>
      </w:rPr>
    </w:lvl>
    <w:lvl w:ilvl="3" w:tentative="0">
      <w:start w:val="1"/>
      <w:numFmt w:val="chineseCountingThousand"/>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12C98BF"/>
    <w:multiLevelType w:val="singleLevel"/>
    <w:tmpl w:val="412C98BF"/>
    <w:lvl w:ilvl="0" w:tentative="0">
      <w:start w:val="1"/>
      <w:numFmt w:val="decimalEnclosedCircleChinese"/>
      <w:suff w:val="nothing"/>
      <w:lvlText w:val="%1　"/>
      <w:lvlJc w:val="left"/>
      <w:pPr>
        <w:ind w:left="0" w:firstLine="400"/>
      </w:pPr>
      <w:rPr>
        <w:rFonts w:hint="eastAsia"/>
      </w:rPr>
    </w:lvl>
  </w:abstractNum>
  <w:abstractNum w:abstractNumId="9">
    <w:nsid w:val="420F0049"/>
    <w:multiLevelType w:val="multilevel"/>
    <w:tmpl w:val="420F0049"/>
    <w:lvl w:ilvl="0" w:tentative="0">
      <w:start w:val="1"/>
      <w:numFmt w:val="chineseCountingThousand"/>
      <w:lvlText w:val="(%1)"/>
      <w:lvlJc w:val="left"/>
      <w:pPr>
        <w:tabs>
          <w:tab w:val="left" w:pos="8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44CD5DF5"/>
    <w:multiLevelType w:val="singleLevel"/>
    <w:tmpl w:val="44CD5DF5"/>
    <w:lvl w:ilvl="0" w:tentative="0">
      <w:start w:val="1"/>
      <w:numFmt w:val="decimal"/>
      <w:lvlText w:val="%1)"/>
      <w:lvlJc w:val="left"/>
      <w:pPr>
        <w:tabs>
          <w:tab w:val="left" w:pos="1260"/>
        </w:tabs>
        <w:ind w:left="1685" w:hanging="425"/>
      </w:pPr>
      <w:rPr>
        <w:rFonts w:hint="default"/>
      </w:rPr>
    </w:lvl>
  </w:abstractNum>
  <w:abstractNum w:abstractNumId="11">
    <w:nsid w:val="465147B1"/>
    <w:multiLevelType w:val="multilevel"/>
    <w:tmpl w:val="465147B1"/>
    <w:lvl w:ilvl="0" w:tentative="0">
      <w:start w:val="1"/>
      <w:numFmt w:val="chineseCountingThousand"/>
      <w:lvlText w:val="(%1)"/>
      <w:lvlJc w:val="left"/>
      <w:pPr>
        <w:tabs>
          <w:tab w:val="left" w:pos="8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60"/>
        </w:tabs>
        <w:ind w:left="1260" w:hanging="42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4B10769C"/>
    <w:multiLevelType w:val="multilevel"/>
    <w:tmpl w:val="4B10769C"/>
    <w:lvl w:ilvl="0" w:tentative="0">
      <w:start w:val="1"/>
      <w:numFmt w:val="bullet"/>
      <w:lvlText w:val="•"/>
      <w:lvlJc w:val="left"/>
      <w:pPr>
        <w:tabs>
          <w:tab w:val="left" w:pos="840"/>
        </w:tabs>
        <w:ind w:left="840" w:hanging="420"/>
      </w:pPr>
      <w:rPr>
        <w:rFonts w:hint="eastAsia" w:ascii="华文宋体" w:hAnsi="华文宋体" w:eastAsia="华文宋体"/>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7229725F"/>
    <w:multiLevelType w:val="multilevel"/>
    <w:tmpl w:val="7229725F"/>
    <w:lvl w:ilvl="0" w:tentative="0">
      <w:start w:val="1"/>
      <w:numFmt w:val="bullet"/>
      <w:lvlText w:val=""/>
      <w:lvlJc w:val="left"/>
      <w:pPr>
        <w:tabs>
          <w:tab w:val="left" w:pos="567"/>
        </w:tabs>
        <w:ind w:left="567" w:hanging="147"/>
      </w:pPr>
      <w:rPr>
        <w:rFonts w:hint="default" w:ascii="Symbol" w:hAnsi="Symbol"/>
        <w:color w:val="auto"/>
      </w:rPr>
    </w:lvl>
    <w:lvl w:ilvl="1" w:tentative="0">
      <w:start w:val="1"/>
      <w:numFmt w:val="bullet"/>
      <w:lvlText w:val=""/>
      <w:lvlJc w:val="left"/>
      <w:pPr>
        <w:tabs>
          <w:tab w:val="left" w:pos="1287"/>
        </w:tabs>
        <w:ind w:left="1287" w:hanging="147"/>
      </w:pPr>
      <w:rPr>
        <w:rFonts w:hint="default" w:ascii="Symbol" w:hAnsi="Symbol"/>
        <w:color w:val="auto"/>
      </w:rPr>
    </w:lvl>
    <w:lvl w:ilvl="2" w:tentative="0">
      <w:start w:val="1"/>
      <w:numFmt w:val="bullet"/>
      <w:lvlText w:val=""/>
      <w:lvlJc w:val="left"/>
      <w:pPr>
        <w:tabs>
          <w:tab w:val="left" w:pos="2220"/>
        </w:tabs>
        <w:ind w:left="2220" w:hanging="360"/>
      </w:pPr>
      <w:rPr>
        <w:rFonts w:hint="default" w:ascii="Wingdings" w:hAnsi="Wingdings"/>
      </w:rPr>
    </w:lvl>
    <w:lvl w:ilvl="3" w:tentative="0">
      <w:start w:val="1"/>
      <w:numFmt w:val="bullet"/>
      <w:lvlText w:val=""/>
      <w:lvlJc w:val="left"/>
      <w:pPr>
        <w:tabs>
          <w:tab w:val="left" w:pos="2940"/>
        </w:tabs>
        <w:ind w:left="2940" w:hanging="360"/>
      </w:pPr>
      <w:rPr>
        <w:rFonts w:hint="default" w:ascii="Wingdings" w:hAnsi="Wingdings"/>
      </w:rPr>
    </w:lvl>
    <w:lvl w:ilvl="4" w:tentative="0">
      <w:start w:val="1"/>
      <w:numFmt w:val="bullet"/>
      <w:lvlText w:val=""/>
      <w:lvlJc w:val="left"/>
      <w:pPr>
        <w:tabs>
          <w:tab w:val="left" w:pos="3660"/>
        </w:tabs>
        <w:ind w:left="3660" w:hanging="360"/>
      </w:pPr>
      <w:rPr>
        <w:rFonts w:hint="default" w:ascii="Wingdings" w:hAnsi="Wingdings"/>
      </w:rPr>
    </w:lvl>
    <w:lvl w:ilvl="5" w:tentative="0">
      <w:start w:val="1"/>
      <w:numFmt w:val="bullet"/>
      <w:lvlText w:val=""/>
      <w:lvlJc w:val="left"/>
      <w:pPr>
        <w:tabs>
          <w:tab w:val="left" w:pos="4380"/>
        </w:tabs>
        <w:ind w:left="4380" w:hanging="360"/>
      </w:pPr>
      <w:rPr>
        <w:rFonts w:hint="default" w:ascii="Wingdings" w:hAnsi="Wingdings"/>
      </w:rPr>
    </w:lvl>
    <w:lvl w:ilvl="6" w:tentative="0">
      <w:start w:val="1"/>
      <w:numFmt w:val="bullet"/>
      <w:lvlText w:val=""/>
      <w:lvlJc w:val="left"/>
      <w:pPr>
        <w:tabs>
          <w:tab w:val="left" w:pos="5100"/>
        </w:tabs>
        <w:ind w:left="5100" w:hanging="360"/>
      </w:pPr>
      <w:rPr>
        <w:rFonts w:hint="default" w:ascii="Wingdings" w:hAnsi="Wingdings"/>
      </w:rPr>
    </w:lvl>
    <w:lvl w:ilvl="7" w:tentative="0">
      <w:start w:val="1"/>
      <w:numFmt w:val="bullet"/>
      <w:lvlText w:val=""/>
      <w:lvlJc w:val="left"/>
      <w:pPr>
        <w:tabs>
          <w:tab w:val="left" w:pos="5820"/>
        </w:tabs>
        <w:ind w:left="5820" w:hanging="360"/>
      </w:pPr>
      <w:rPr>
        <w:rFonts w:hint="default" w:ascii="Wingdings" w:hAnsi="Wingdings"/>
      </w:rPr>
    </w:lvl>
    <w:lvl w:ilvl="8" w:tentative="0">
      <w:start w:val="1"/>
      <w:numFmt w:val="bullet"/>
      <w:lvlText w:val=""/>
      <w:lvlJc w:val="left"/>
      <w:pPr>
        <w:tabs>
          <w:tab w:val="left" w:pos="6540"/>
        </w:tabs>
        <w:ind w:left="6540" w:hanging="360"/>
      </w:pPr>
      <w:rPr>
        <w:rFonts w:hint="default" w:ascii="Wingdings" w:hAnsi="Wingdings"/>
      </w:rPr>
    </w:lvl>
  </w:abstractNum>
  <w:abstractNum w:abstractNumId="14">
    <w:nsid w:val="77CAC287"/>
    <w:multiLevelType w:val="singleLevel"/>
    <w:tmpl w:val="77CAC287"/>
    <w:lvl w:ilvl="0" w:tentative="0">
      <w:start w:val="1"/>
      <w:numFmt w:val="decimalEnclosedCircleChinese"/>
      <w:suff w:val="nothing"/>
      <w:lvlText w:val="%1　"/>
      <w:lvlJc w:val="left"/>
      <w:pPr>
        <w:ind w:left="0" w:firstLine="400"/>
      </w:pPr>
      <w:rPr>
        <w:rFonts w:hint="eastAsia"/>
      </w:rPr>
    </w:lvl>
  </w:abstractNum>
  <w:num w:numId="1">
    <w:abstractNumId w:val="6"/>
  </w:num>
  <w:num w:numId="2">
    <w:abstractNumId w:val="3"/>
  </w:num>
  <w:num w:numId="3">
    <w:abstractNumId w:val="0"/>
  </w:num>
  <w:num w:numId="4">
    <w:abstractNumId w:val="8"/>
  </w:num>
  <w:num w:numId="5">
    <w:abstractNumId w:val="14"/>
  </w:num>
  <w:num w:numId="6">
    <w:abstractNumId w:val="2"/>
  </w:num>
  <w:num w:numId="7">
    <w:abstractNumId w:val="11"/>
  </w:num>
  <w:num w:numId="8">
    <w:abstractNumId w:val="10"/>
  </w:num>
  <w:num w:numId="9">
    <w:abstractNumId w:val="7"/>
  </w:num>
  <w:num w:numId="10">
    <w:abstractNumId w:val="5"/>
  </w:num>
  <w:num w:numId="11">
    <w:abstractNumId w:val="9"/>
  </w:num>
  <w:num w:numId="12">
    <w:abstractNumId w:val="1"/>
  </w:num>
  <w:num w:numId="13">
    <w:abstractNumId w:val="4"/>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ZTE5ZmQxMGI0OGRhOWJkNTg0MmNhNDMxZWFhZjYifQ=="/>
  </w:docVars>
  <w:rsids>
    <w:rsidRoot w:val="00CA7F2B"/>
    <w:rsid w:val="0000284E"/>
    <w:rsid w:val="00005DD7"/>
    <w:rsid w:val="00026C75"/>
    <w:rsid w:val="00042F94"/>
    <w:rsid w:val="0004546E"/>
    <w:rsid w:val="00053D1C"/>
    <w:rsid w:val="000640F2"/>
    <w:rsid w:val="000700B8"/>
    <w:rsid w:val="000702CC"/>
    <w:rsid w:val="00077107"/>
    <w:rsid w:val="000827DC"/>
    <w:rsid w:val="000924BA"/>
    <w:rsid w:val="000A2394"/>
    <w:rsid w:val="000E5F1C"/>
    <w:rsid w:val="001011BA"/>
    <w:rsid w:val="001045BF"/>
    <w:rsid w:val="00120E59"/>
    <w:rsid w:val="00134733"/>
    <w:rsid w:val="00151D18"/>
    <w:rsid w:val="00157B08"/>
    <w:rsid w:val="001641DA"/>
    <w:rsid w:val="00167CC9"/>
    <w:rsid w:val="0017273D"/>
    <w:rsid w:val="0017452D"/>
    <w:rsid w:val="001914B4"/>
    <w:rsid w:val="001A0A32"/>
    <w:rsid w:val="001A3C47"/>
    <w:rsid w:val="001E7ECE"/>
    <w:rsid w:val="002022F3"/>
    <w:rsid w:val="00250373"/>
    <w:rsid w:val="00267A25"/>
    <w:rsid w:val="002955D4"/>
    <w:rsid w:val="003041BC"/>
    <w:rsid w:val="00314E7F"/>
    <w:rsid w:val="00344602"/>
    <w:rsid w:val="00346A71"/>
    <w:rsid w:val="003542E2"/>
    <w:rsid w:val="00356E9C"/>
    <w:rsid w:val="0037402F"/>
    <w:rsid w:val="003A612F"/>
    <w:rsid w:val="003A6362"/>
    <w:rsid w:val="003C48F9"/>
    <w:rsid w:val="003D70B3"/>
    <w:rsid w:val="003D730C"/>
    <w:rsid w:val="003E26CA"/>
    <w:rsid w:val="003F28C4"/>
    <w:rsid w:val="003F64BE"/>
    <w:rsid w:val="00415C0F"/>
    <w:rsid w:val="00437C4D"/>
    <w:rsid w:val="004573EF"/>
    <w:rsid w:val="00463346"/>
    <w:rsid w:val="004946A6"/>
    <w:rsid w:val="004D5108"/>
    <w:rsid w:val="004D5D9A"/>
    <w:rsid w:val="004F576E"/>
    <w:rsid w:val="00504F26"/>
    <w:rsid w:val="0059077E"/>
    <w:rsid w:val="005A3C02"/>
    <w:rsid w:val="005A4353"/>
    <w:rsid w:val="005B7060"/>
    <w:rsid w:val="005D3D8A"/>
    <w:rsid w:val="005D6C63"/>
    <w:rsid w:val="005F130A"/>
    <w:rsid w:val="00617E12"/>
    <w:rsid w:val="006309A4"/>
    <w:rsid w:val="00634ACF"/>
    <w:rsid w:val="00654D3D"/>
    <w:rsid w:val="00681F2B"/>
    <w:rsid w:val="00695549"/>
    <w:rsid w:val="00697F66"/>
    <w:rsid w:val="006B7D08"/>
    <w:rsid w:val="006D7CA8"/>
    <w:rsid w:val="006E2051"/>
    <w:rsid w:val="006E4FEA"/>
    <w:rsid w:val="00700849"/>
    <w:rsid w:val="007237B5"/>
    <w:rsid w:val="007635E4"/>
    <w:rsid w:val="00781D54"/>
    <w:rsid w:val="00785C05"/>
    <w:rsid w:val="0079276E"/>
    <w:rsid w:val="00795E92"/>
    <w:rsid w:val="007A5BFD"/>
    <w:rsid w:val="007B6E35"/>
    <w:rsid w:val="007B7464"/>
    <w:rsid w:val="007C2D13"/>
    <w:rsid w:val="007F56F4"/>
    <w:rsid w:val="00807C2E"/>
    <w:rsid w:val="00820D9B"/>
    <w:rsid w:val="00832D24"/>
    <w:rsid w:val="0083561E"/>
    <w:rsid w:val="008453EC"/>
    <w:rsid w:val="00847661"/>
    <w:rsid w:val="0086407A"/>
    <w:rsid w:val="00892C24"/>
    <w:rsid w:val="008A4E16"/>
    <w:rsid w:val="008B25C8"/>
    <w:rsid w:val="008B543D"/>
    <w:rsid w:val="008C3196"/>
    <w:rsid w:val="008D2D53"/>
    <w:rsid w:val="008D44D3"/>
    <w:rsid w:val="008F28C7"/>
    <w:rsid w:val="008F321D"/>
    <w:rsid w:val="009032C1"/>
    <w:rsid w:val="0094339E"/>
    <w:rsid w:val="00972784"/>
    <w:rsid w:val="00976C8D"/>
    <w:rsid w:val="009C7CD7"/>
    <w:rsid w:val="009D141F"/>
    <w:rsid w:val="009E27AA"/>
    <w:rsid w:val="00A047B3"/>
    <w:rsid w:val="00A32409"/>
    <w:rsid w:val="00A40099"/>
    <w:rsid w:val="00A6224D"/>
    <w:rsid w:val="00A70CA3"/>
    <w:rsid w:val="00A82153"/>
    <w:rsid w:val="00A873E8"/>
    <w:rsid w:val="00AA4500"/>
    <w:rsid w:val="00AC2E26"/>
    <w:rsid w:val="00AC6931"/>
    <w:rsid w:val="00AD32AC"/>
    <w:rsid w:val="00AE642A"/>
    <w:rsid w:val="00AF14AD"/>
    <w:rsid w:val="00B25A39"/>
    <w:rsid w:val="00B33F18"/>
    <w:rsid w:val="00B54204"/>
    <w:rsid w:val="00B64C5D"/>
    <w:rsid w:val="00B66124"/>
    <w:rsid w:val="00B776DC"/>
    <w:rsid w:val="00B9168C"/>
    <w:rsid w:val="00BA1812"/>
    <w:rsid w:val="00C035B9"/>
    <w:rsid w:val="00C1436A"/>
    <w:rsid w:val="00C34A18"/>
    <w:rsid w:val="00C71133"/>
    <w:rsid w:val="00C91BD2"/>
    <w:rsid w:val="00C92885"/>
    <w:rsid w:val="00CA7F2B"/>
    <w:rsid w:val="00CC1CA5"/>
    <w:rsid w:val="00CC2E2A"/>
    <w:rsid w:val="00CC6620"/>
    <w:rsid w:val="00CE4E7A"/>
    <w:rsid w:val="00D14EE2"/>
    <w:rsid w:val="00D654F1"/>
    <w:rsid w:val="00D865FD"/>
    <w:rsid w:val="00D917D8"/>
    <w:rsid w:val="00DB1235"/>
    <w:rsid w:val="00DF6700"/>
    <w:rsid w:val="00E00F87"/>
    <w:rsid w:val="00E372D8"/>
    <w:rsid w:val="00E409F8"/>
    <w:rsid w:val="00E533DE"/>
    <w:rsid w:val="00E648F0"/>
    <w:rsid w:val="00E7213B"/>
    <w:rsid w:val="00E820EE"/>
    <w:rsid w:val="00E914AF"/>
    <w:rsid w:val="00E91C43"/>
    <w:rsid w:val="00EB73FF"/>
    <w:rsid w:val="00EC16C6"/>
    <w:rsid w:val="00EE129E"/>
    <w:rsid w:val="00F04692"/>
    <w:rsid w:val="00F04D24"/>
    <w:rsid w:val="00F06F4E"/>
    <w:rsid w:val="00F46F6E"/>
    <w:rsid w:val="00F605BA"/>
    <w:rsid w:val="00F80BE2"/>
    <w:rsid w:val="00F81547"/>
    <w:rsid w:val="00F87C7C"/>
    <w:rsid w:val="00F9386B"/>
    <w:rsid w:val="00F94B3C"/>
    <w:rsid w:val="00FC0F88"/>
    <w:rsid w:val="00FC1885"/>
    <w:rsid w:val="020275D0"/>
    <w:rsid w:val="0A4D3C73"/>
    <w:rsid w:val="0ACA0740"/>
    <w:rsid w:val="134002D3"/>
    <w:rsid w:val="134D00B5"/>
    <w:rsid w:val="14D25E00"/>
    <w:rsid w:val="190A555B"/>
    <w:rsid w:val="1DDE469A"/>
    <w:rsid w:val="1F0C7B14"/>
    <w:rsid w:val="27982D33"/>
    <w:rsid w:val="2EDF062C"/>
    <w:rsid w:val="38BD58C0"/>
    <w:rsid w:val="3FA90E6D"/>
    <w:rsid w:val="46C75BD4"/>
    <w:rsid w:val="49520117"/>
    <w:rsid w:val="571728C1"/>
    <w:rsid w:val="5B850BE5"/>
    <w:rsid w:val="61255A26"/>
    <w:rsid w:val="634A6FD8"/>
    <w:rsid w:val="650500E9"/>
    <w:rsid w:val="67C27D3C"/>
    <w:rsid w:val="68CA2026"/>
    <w:rsid w:val="745C5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styleId="7">
    <w:name w:val="Hyperlink"/>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hanga</Company>
  <Pages>8</Pages>
  <Words>6234</Words>
  <Characters>6308</Characters>
  <Lines>35</Lines>
  <Paragraphs>10</Paragraphs>
  <TotalTime>105</TotalTime>
  <ScaleCrop>false</ScaleCrop>
  <LinksUpToDate>false</LinksUpToDate>
  <CharactersWithSpaces>6362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地产交房组织与纠纷应对</dc:title>
  <dc:creator>龙湖解析专家孙凡老师; 13508359518</dc:creator>
  <cp:lastModifiedBy>孙凡</cp:lastModifiedBy>
  <cp:revision>4</cp:revision>
  <dcterms:created xsi:type="dcterms:W3CDTF">2022-06-21T04:01:00Z</dcterms:created>
  <dcterms:modified xsi:type="dcterms:W3CDTF">2023-08-24T02:40:22Z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6A10D71C6D8B49A9948018C8FCA8CC32</vt:lpwstr>
  </property>
</Properties>
</file>