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微软雅黑 Light" w:hAnsi="微软雅黑 Light" w:eastAsia="微软雅黑 Light" w:cs="微软雅黑 Light"/>
          <w:b/>
          <w:bCs/>
          <w:color w:val="A6A6A6" w:themeColor="background1" w:themeShade="A6"/>
          <w:sz w:val="24"/>
          <w:szCs w:val="32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A6A6A6" w:themeColor="background1" w:themeShade="A6"/>
          <w:sz w:val="24"/>
          <w:szCs w:val="32"/>
          <w:lang w:val="en-US" w:eastAsia="zh-CN"/>
        </w:rPr>
        <w:t>课程大纲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微软雅黑 Light" w:hAnsi="微软雅黑 Light" w:eastAsia="微软雅黑 Light" w:cs="微软雅黑 Light"/>
          <w:b/>
          <w:bCs/>
          <w:sz w:val="28"/>
          <w:szCs w:val="36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b/>
          <w:bCs/>
          <w:sz w:val="28"/>
          <w:szCs w:val="36"/>
          <w:lang w:val="en-US" w:eastAsia="zh-CN"/>
        </w:rPr>
        <w:t>标杆地产案场（售楼中心）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微软雅黑 Light" w:hAnsi="微软雅黑 Light" w:eastAsia="微软雅黑 Light" w:cs="微软雅黑 Light"/>
          <w:b/>
          <w:bCs/>
          <w:sz w:val="28"/>
          <w:szCs w:val="36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b/>
          <w:bCs/>
          <w:sz w:val="28"/>
          <w:szCs w:val="36"/>
          <w:lang w:val="en-US" w:eastAsia="zh-CN"/>
        </w:rPr>
        <w:t>优质物业服务标准化建设与执行解析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textAlignment w:val="auto"/>
        <w:rPr>
          <w:rFonts w:hint="eastAsia" w:ascii="微软雅黑 Light" w:hAnsi="微软雅黑 Light" w:eastAsia="微软雅黑 Light" w:cs="微软雅黑 Light"/>
          <w:b/>
          <w:bCs/>
          <w:sz w:val="28"/>
          <w:szCs w:val="36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b/>
          <w:bCs/>
          <w:sz w:val="28"/>
          <w:szCs w:val="36"/>
          <w:lang w:val="en-US" w:eastAsia="zh-CN"/>
        </w:rPr>
        <w:t>目的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 w:firstLine="420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lang w:val="en-US" w:eastAsia="zh-CN"/>
        </w:rPr>
        <w:t>解析标杆企业的模式、经验和标准，助力企业打造标准化的、高品质的案场物业服务模式，支持项目营销提升。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textAlignment w:val="auto"/>
        <w:rPr>
          <w:rFonts w:hint="eastAsia" w:ascii="微软雅黑 Light" w:hAnsi="微软雅黑 Light" w:eastAsia="微软雅黑 Light" w:cs="微软雅黑 Light"/>
          <w:b/>
          <w:bCs/>
          <w:sz w:val="28"/>
          <w:szCs w:val="36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b/>
          <w:bCs/>
          <w:sz w:val="28"/>
          <w:szCs w:val="36"/>
          <w:lang w:val="en-US" w:eastAsia="zh-CN"/>
        </w:rPr>
        <w:t>适应对象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lang w:val="en-US" w:eastAsia="zh-CN"/>
        </w:rPr>
        <w:t xml:space="preserve">   地产营销干部与团队、物业公司案场管理干部、团队；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textAlignment w:val="auto"/>
        <w:rPr>
          <w:rFonts w:hint="eastAsia" w:ascii="微软雅黑 Light" w:hAnsi="微软雅黑 Light" w:eastAsia="微软雅黑 Light" w:cs="微软雅黑 Light"/>
          <w:b/>
          <w:bCs/>
          <w:sz w:val="28"/>
          <w:szCs w:val="36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b/>
          <w:bCs/>
          <w:sz w:val="28"/>
          <w:szCs w:val="36"/>
          <w:lang w:val="en-US" w:eastAsia="zh-CN"/>
        </w:rPr>
        <w:t>课程时间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Chars="0" w:firstLine="420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lang w:val="en-US" w:eastAsia="zh-CN"/>
        </w:rPr>
        <w:t>1天（6小时）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textAlignment w:val="auto"/>
        <w:rPr>
          <w:rFonts w:hint="eastAsia" w:ascii="微软雅黑 Light" w:hAnsi="微软雅黑 Light" w:eastAsia="微软雅黑 Light" w:cs="微软雅黑 Light"/>
          <w:b/>
          <w:bCs/>
          <w:sz w:val="28"/>
          <w:szCs w:val="36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b/>
          <w:bCs/>
          <w:sz w:val="28"/>
          <w:szCs w:val="36"/>
          <w:lang w:val="en-US" w:eastAsia="zh-CN"/>
        </w:rPr>
        <w:t>课程收益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20" w:firstLineChars="0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lang w:val="en-US" w:eastAsia="zh-CN"/>
        </w:rPr>
        <w:t>学到标杆物业公司针对案场营销售楼中心的服务管理模式，从案场的建设、投入运营一直到售楼中心撤场关闭的全过程管理模式；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20" w:firstLineChars="0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lang w:val="en-US" w:eastAsia="zh-CN"/>
        </w:rPr>
        <w:t>解析案场售楼中心物业服务的各专业服务及管理的基本知识、指导原则、标准、操作流程（内容及要点），利于企业、项目自身的标准化建设与完善；（一天时间，重点在于流程和标准的建设，并非完全的操作标准讲解与演练）</w:t>
      </w:r>
    </w:p>
    <w:p>
      <w:pPr>
        <w:keepNext w:val="0"/>
        <w:keepLines w:val="0"/>
        <w:pageBreakBefore w:val="0"/>
        <w:widowControl w:val="0"/>
        <w:numPr>
          <w:ilvl w:val="1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20" w:firstLineChars="0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lang w:val="en-US" w:eastAsia="zh-CN"/>
        </w:rPr>
        <w:t>学到标杆企业的案场物业服务细节设计与执行，实现服务营销的先进思路和方法，案例。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0" w:firstLineChars="0"/>
        <w:textAlignment w:val="auto"/>
        <w:rPr>
          <w:rFonts w:hint="eastAsia" w:ascii="微软雅黑 Light" w:hAnsi="微软雅黑 Light" w:eastAsia="微软雅黑 Light" w:cs="微软雅黑 Light"/>
          <w:b/>
          <w:bCs/>
          <w:sz w:val="28"/>
          <w:szCs w:val="36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b/>
          <w:bCs/>
          <w:sz w:val="28"/>
          <w:szCs w:val="36"/>
          <w:lang w:val="en-US" w:eastAsia="zh-CN"/>
        </w:rPr>
        <w:t>课程大纲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20" w:firstLineChars="0"/>
        <w:textAlignment w:val="auto"/>
        <w:rPr>
          <w:rFonts w:hint="eastAsia" w:ascii="微软雅黑 Light" w:hAnsi="微软雅黑 Light" w:eastAsia="微软雅黑 Light" w:cs="微软雅黑 Light"/>
          <w:sz w:val="22"/>
          <w:szCs w:val="28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2"/>
          <w:szCs w:val="28"/>
          <w:lang w:val="en-US" w:eastAsia="zh-CN"/>
        </w:rPr>
        <w:t>物业服务对地产的价值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20" w:firstLineChars="0"/>
        <w:textAlignment w:val="auto"/>
        <w:rPr>
          <w:rFonts w:hint="eastAsia" w:ascii="微软雅黑 Light" w:hAnsi="微软雅黑 Light" w:eastAsia="微软雅黑 Light" w:cs="微软雅黑 Light"/>
          <w:sz w:val="22"/>
          <w:szCs w:val="28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2"/>
          <w:szCs w:val="28"/>
          <w:lang w:val="en-US" w:eastAsia="zh-CN"/>
        </w:rPr>
        <w:t>物业服务对地产价值的实现途径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20" w:firstLineChars="0"/>
        <w:textAlignment w:val="auto"/>
        <w:rPr>
          <w:rFonts w:hint="eastAsia" w:ascii="微软雅黑 Light" w:hAnsi="微软雅黑 Light" w:eastAsia="微软雅黑 Light" w:cs="微软雅黑 Light"/>
          <w:sz w:val="22"/>
          <w:szCs w:val="28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2"/>
          <w:szCs w:val="28"/>
          <w:lang w:val="en-US" w:eastAsia="zh-CN"/>
        </w:rPr>
        <w:t>案场（售楼中心）物业服务管理的功能角色定位与价值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firstLine="400" w:firstLineChars="200"/>
        <w:textAlignment w:val="auto"/>
        <w:rPr>
          <w:rFonts w:hint="default" w:ascii="微软雅黑 Light" w:hAnsi="微软雅黑 Light" w:eastAsia="微软雅黑 Light" w:cs="微软雅黑 Light"/>
          <w:sz w:val="20"/>
          <w:szCs w:val="22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0"/>
          <w:szCs w:val="22"/>
          <w:lang w:val="en-US" w:eastAsia="zh-CN"/>
        </w:rPr>
        <w:t>结合案例讲解案场服务对客户的影响，对营销的影响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20" w:firstLineChars="0"/>
        <w:textAlignment w:val="auto"/>
        <w:rPr>
          <w:rFonts w:hint="eastAsia" w:ascii="微软雅黑 Light" w:hAnsi="微软雅黑 Light" w:eastAsia="微软雅黑 Light" w:cs="微软雅黑 Light"/>
          <w:sz w:val="22"/>
          <w:szCs w:val="28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2"/>
          <w:szCs w:val="28"/>
          <w:lang w:val="en-US" w:eastAsia="zh-CN"/>
        </w:rPr>
        <w:t>标杆房企案场管理体系要素建设解析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265" w:leftChars="0" w:hanging="425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  <w:t>标杆案场管理体系建设的观念梳理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265" w:leftChars="0" w:hanging="425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  <w:t>标杆案场管理体系建设的资源保障与机制建设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265" w:leftChars="0" w:hanging="425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  <w:t>标杆案场管理体系的全生命周期管理框架、流程与标准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20" w:firstLineChars="0"/>
        <w:textAlignment w:val="auto"/>
        <w:rPr>
          <w:rFonts w:hint="eastAsia" w:ascii="微软雅黑 Light" w:hAnsi="微软雅黑 Light" w:eastAsia="微软雅黑 Light" w:cs="微软雅黑 Light"/>
          <w:sz w:val="22"/>
          <w:szCs w:val="28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2"/>
          <w:szCs w:val="28"/>
          <w:lang w:val="en-US" w:eastAsia="zh-CN"/>
        </w:rPr>
        <w:t>案场“全生命周期”优质服务体系的建设与执行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840" w:leftChars="0" w:firstLine="0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2"/>
          <w:szCs w:val="28"/>
          <w:lang w:val="en-US" w:eastAsia="zh-CN"/>
        </w:rPr>
        <w:t>案场筹备期服务与管理要点</w:t>
      </w:r>
      <w:r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  <w:t>涉及：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firstLine="420" w:firstLineChars="200"/>
        <w:textAlignment w:val="auto"/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  <w:t>管理团队的组建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firstLine="420" w:firstLineChars="200"/>
        <w:textAlignment w:val="auto"/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  <w:t>售场前期介入、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firstLine="420" w:firstLineChars="200"/>
        <w:textAlignment w:val="auto"/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  <w:t>案场服务方案设计与评审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firstLine="420" w:firstLineChars="200"/>
        <w:textAlignment w:val="auto"/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  <w:t>人员招聘、组织架构设置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firstLine="420" w:firstLineChars="200"/>
        <w:textAlignment w:val="auto"/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  <w:t>地产沟通衔接。。。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840" w:leftChars="0" w:firstLine="0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4"/>
          <w:szCs w:val="32"/>
          <w:lang w:val="en-US" w:eastAsia="zh-CN"/>
        </w:rPr>
        <w:t>案场开放期的服务与管理要点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firstLine="440" w:firstLineChars="200"/>
        <w:textAlignment w:val="auto"/>
        <w:rPr>
          <w:rFonts w:hint="eastAsia" w:ascii="微软雅黑 Light" w:hAnsi="微软雅黑 Light" w:eastAsia="微软雅黑 Light" w:cs="微软雅黑 Light"/>
          <w:sz w:val="20"/>
          <w:szCs w:val="22"/>
          <w:u w:val="none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2"/>
          <w:szCs w:val="28"/>
          <w:u w:val="none"/>
          <w:lang w:val="en-US" w:eastAsia="zh-CN"/>
        </w:rPr>
        <w:t>客户动线分析，完善服务流程与标准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firstLine="440" w:firstLineChars="200"/>
        <w:textAlignment w:val="auto"/>
        <w:rPr>
          <w:rFonts w:hint="eastAsia" w:ascii="微软雅黑 Light" w:hAnsi="微软雅黑 Light" w:eastAsia="微软雅黑 Light" w:cs="微软雅黑 Light"/>
          <w:sz w:val="20"/>
          <w:szCs w:val="22"/>
          <w:u w:val="none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2"/>
          <w:szCs w:val="28"/>
          <w:u w:val="none"/>
          <w:lang w:val="en-US" w:eastAsia="zh-CN"/>
        </w:rPr>
        <w:t>完善服务架构与组织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firstLine="440" w:firstLineChars="200"/>
        <w:textAlignment w:val="auto"/>
        <w:rPr>
          <w:rFonts w:hint="eastAsia" w:ascii="微软雅黑 Light" w:hAnsi="微软雅黑 Light" w:eastAsia="微软雅黑 Light" w:cs="微软雅黑 Light"/>
          <w:sz w:val="20"/>
          <w:szCs w:val="22"/>
          <w:u w:val="none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2"/>
          <w:szCs w:val="28"/>
          <w:u w:val="none"/>
          <w:lang w:val="en-US" w:eastAsia="zh-CN"/>
        </w:rPr>
        <w:t>实施基础物业服务与管理（</w:t>
      </w:r>
      <w:r>
        <w:rPr>
          <w:rFonts w:hint="eastAsia" w:ascii="微软雅黑 Light" w:hAnsi="微软雅黑 Light" w:eastAsia="微软雅黑 Light" w:cs="微软雅黑 Light"/>
          <w:sz w:val="22"/>
          <w:szCs w:val="28"/>
          <w:u w:val="single"/>
          <w:lang w:val="en-US" w:eastAsia="zh-CN"/>
        </w:rPr>
        <w:t>要点简析、细节亮点示例</w:t>
      </w:r>
      <w:r>
        <w:rPr>
          <w:rFonts w:hint="eastAsia" w:ascii="微软雅黑 Light" w:hAnsi="微软雅黑 Light" w:eastAsia="微软雅黑 Light" w:cs="微软雅黑 Light"/>
          <w:sz w:val="22"/>
          <w:szCs w:val="28"/>
          <w:u w:val="none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685" w:leftChars="0" w:hanging="425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  <w:t>案场环境硬件配置、设置标准要点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685" w:leftChars="0" w:hanging="425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  <w:t>通用礼仪标准要点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685" w:leftChars="0" w:hanging="425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  <w:t xml:space="preserve">礼宾安全岗服务内容与典型操作标准展示与要点简析：车辆指挥与服务、开门、撑伞、遮阳、遮车牌。。。 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685" w:leftChars="0" w:hanging="425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  <w:t>电瓶车服务内容与标准要点简析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685" w:leftChars="0" w:hanging="425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  <w:t>客服（吧员）、轻食饮料等服务内容与标准要点简析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685" w:leftChars="0" w:hanging="425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  <w:t>样板房服务员内容与标准要点简析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685" w:leftChars="0" w:hanging="425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  <w:t>环境服务内容与标准要点简析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685" w:leftChars="0" w:hanging="425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  <w:t>保洁服务内容标准与要点简析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685" w:leftChars="0" w:hanging="425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1"/>
          <w:lang w:val="en-US" w:eastAsia="zh-CN"/>
        </w:rPr>
        <w:t>工程服务内容与标准要点简析。。。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firstLine="440" w:firstLineChars="200"/>
        <w:textAlignment w:val="auto"/>
        <w:rPr>
          <w:rFonts w:hint="eastAsia" w:ascii="微软雅黑 Light" w:hAnsi="微软雅黑 Light" w:eastAsia="微软雅黑 Light" w:cs="微软雅黑 Light"/>
          <w:sz w:val="22"/>
          <w:szCs w:val="28"/>
          <w:u w:val="none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2"/>
          <w:szCs w:val="28"/>
          <w:u w:val="none"/>
          <w:lang w:val="en-US" w:eastAsia="zh-CN"/>
        </w:rPr>
        <w:t>案场服务流程标准建立与完善的方法解析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firstLine="440" w:firstLineChars="200"/>
        <w:textAlignment w:val="auto"/>
        <w:rPr>
          <w:rFonts w:hint="eastAsia" w:ascii="微软雅黑 Light" w:hAnsi="微软雅黑 Light" w:eastAsia="微软雅黑 Light" w:cs="微软雅黑 Light"/>
          <w:sz w:val="22"/>
          <w:szCs w:val="28"/>
          <w:u w:val="none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2"/>
          <w:szCs w:val="28"/>
          <w:u w:val="none"/>
          <w:lang w:val="en-US" w:eastAsia="zh-CN"/>
        </w:rPr>
        <w:t>案场开放期关键服务管理要点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685" w:leftChars="0" w:hanging="425" w:firstLineChars="0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lang w:val="en-US" w:eastAsia="zh-CN"/>
        </w:rPr>
        <w:t>对地产的关键营销活动提供服务支持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685" w:leftChars="0" w:hanging="425" w:firstLineChars="0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lang w:val="en-US" w:eastAsia="zh-CN"/>
        </w:rPr>
        <w:t>风险管理、案场团队与营销的协作、与地产的关系协调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685" w:leftChars="0" w:hanging="425" w:firstLineChars="0"/>
        <w:textAlignment w:val="auto"/>
        <w:rPr>
          <w:rFonts w:hint="eastAsia" w:ascii="微软雅黑 Light" w:hAnsi="微软雅黑 Light" w:eastAsia="微软雅黑 Light" w:cs="微软雅黑 Light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lang w:val="en-US" w:eastAsia="zh-CN"/>
        </w:rPr>
        <w:t>突发情况的应急管理，如开盘应对、群诉、投诉、媒体的应对等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420" w:leftChars="0" w:firstLine="440" w:firstLineChars="200"/>
        <w:textAlignment w:val="auto"/>
        <w:rPr>
          <w:rFonts w:hint="eastAsia" w:ascii="微软雅黑 Light" w:hAnsi="微软雅黑 Light" w:eastAsia="微软雅黑 Light" w:cs="微软雅黑 Light"/>
          <w:sz w:val="22"/>
          <w:szCs w:val="28"/>
          <w:u w:val="none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2"/>
          <w:szCs w:val="28"/>
          <w:u w:val="none"/>
          <w:lang w:val="en-US" w:eastAsia="zh-CN"/>
        </w:rPr>
        <w:t>案场开放期的品质管理提升与内部管理要点解析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685" w:leftChars="0" w:hanging="425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  <w:t>案场品质保障与提升的方法解析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685" w:leftChars="0" w:hanging="425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  <w:t>案场团队的团队建设：培训、考核、绩效等要点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1685" w:leftChars="0" w:hanging="425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  <w:t>标杆案场品质管理提升方案思路解析示例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20" w:firstLineChars="0"/>
        <w:textAlignment w:val="auto"/>
        <w:rPr>
          <w:rFonts w:hint="eastAsia" w:ascii="微软雅黑 Light" w:hAnsi="微软雅黑 Light" w:eastAsia="微软雅黑 Light" w:cs="微软雅黑 Light"/>
          <w:sz w:val="24"/>
          <w:szCs w:val="32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4"/>
          <w:szCs w:val="32"/>
          <w:lang w:val="en-US" w:eastAsia="zh-CN"/>
        </w:rPr>
        <w:t>案场撤场收尾相关事宜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840" w:leftChars="0" w:firstLine="0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  <w:t>物资管理</w:t>
      </w:r>
    </w:p>
    <w:p>
      <w:pPr>
        <w:keepNext w:val="0"/>
        <w:keepLines w:val="0"/>
        <w:pageBreakBefore w:val="0"/>
        <w:widowControl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840" w:leftChars="0" w:firstLine="0" w:firstLineChars="0"/>
        <w:textAlignment w:val="auto"/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1"/>
          <w:szCs w:val="24"/>
          <w:lang w:val="en-US" w:eastAsia="zh-CN"/>
        </w:rPr>
        <w:t>人员分流等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firstLine="420" w:firstLineChars="0"/>
        <w:textAlignment w:val="auto"/>
        <w:rPr>
          <w:rFonts w:hint="eastAsia" w:ascii="微软雅黑 Light" w:hAnsi="微软雅黑 Light" w:eastAsia="微软雅黑 Light" w:cs="微软雅黑 Light"/>
          <w:sz w:val="24"/>
          <w:szCs w:val="32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sz w:val="24"/>
          <w:szCs w:val="32"/>
          <w:lang w:val="en-US" w:eastAsia="zh-CN"/>
        </w:rPr>
        <w:t>案场服务管理的相关研讨答疑</w:t>
      </w:r>
    </w:p>
    <w:sectPr>
      <w:pgSz w:w="11906" w:h="16838"/>
      <w:pgMar w:top="1440" w:right="1800" w:bottom="1118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007607B"/>
    <w:multiLevelType w:val="multilevel"/>
    <w:tmpl w:val="9007607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1">
    <w:nsid w:val="9080D7E9"/>
    <w:multiLevelType w:val="singleLevel"/>
    <w:tmpl w:val="9080D7E9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">
    <w:nsid w:val="97ACCDA4"/>
    <w:multiLevelType w:val="singleLevel"/>
    <w:tmpl w:val="97ACCDA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C2D2D982"/>
    <w:multiLevelType w:val="singleLevel"/>
    <w:tmpl w:val="C2D2D982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4">
    <w:nsid w:val="C784766B"/>
    <w:multiLevelType w:val="singleLevel"/>
    <w:tmpl w:val="C784766B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5">
    <w:nsid w:val="41925DDD"/>
    <w:multiLevelType w:val="singleLevel"/>
    <w:tmpl w:val="41925DD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56E50605"/>
    <w:multiLevelType w:val="singleLevel"/>
    <w:tmpl w:val="56E50605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7">
    <w:nsid w:val="633E1719"/>
    <w:multiLevelType w:val="singleLevel"/>
    <w:tmpl w:val="633E171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>
    <w:nsid w:val="6F994C63"/>
    <w:multiLevelType w:val="multilevel"/>
    <w:tmpl w:val="6F994C63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9">
    <w:nsid w:val="7AE51536"/>
    <w:multiLevelType w:val="singleLevel"/>
    <w:tmpl w:val="7AE51536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8"/>
  </w:num>
  <w:num w:numId="2">
    <w:abstractNumId w:val="0"/>
  </w:num>
  <w:num w:numId="3">
    <w:abstractNumId w:val="2"/>
  </w:num>
  <w:num w:numId="4">
    <w:abstractNumId w:val="5"/>
  </w:num>
  <w:num w:numId="5">
    <w:abstractNumId w:val="9"/>
  </w:num>
  <w:num w:numId="6">
    <w:abstractNumId w:val="1"/>
  </w:num>
  <w:num w:numId="7">
    <w:abstractNumId w:val="6"/>
  </w:num>
  <w:num w:numId="8">
    <w:abstractNumId w:val="3"/>
  </w:num>
  <w:num w:numId="9">
    <w:abstractNumId w:val="4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yZTE5ZmQxMGI0OGRhOWJkNTg0MmNhNDMxZWFhZjYifQ=="/>
  </w:docVars>
  <w:rsids>
    <w:rsidRoot w:val="00000000"/>
    <w:rsid w:val="001042EC"/>
    <w:rsid w:val="005270A2"/>
    <w:rsid w:val="02DC382F"/>
    <w:rsid w:val="17FC0AAF"/>
    <w:rsid w:val="20E55E40"/>
    <w:rsid w:val="242C14B0"/>
    <w:rsid w:val="27447CA5"/>
    <w:rsid w:val="3B765F9C"/>
    <w:rsid w:val="496B71D8"/>
    <w:rsid w:val="565E6941"/>
    <w:rsid w:val="614E7270"/>
    <w:rsid w:val="63FB70FA"/>
    <w:rsid w:val="6BD45913"/>
    <w:rsid w:val="70237DBB"/>
    <w:rsid w:val="71074657"/>
    <w:rsid w:val="7ADA1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1012</Words>
  <Characters>1012</Characters>
  <Lines>0</Lines>
  <Paragraphs>0</Paragraphs>
  <TotalTime>4</TotalTime>
  <ScaleCrop>false</ScaleCrop>
  <LinksUpToDate>false</LinksUpToDate>
  <CharactersWithSpaces>1016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孙凡 13508359518</dc:creator>
  <cp:lastModifiedBy>孙凡</cp:lastModifiedBy>
  <dcterms:modified xsi:type="dcterms:W3CDTF">2023-08-29T02:46:43Z</dcterms:modified>
  <dc:title>地产案场物业服务示范与管理提升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F2CB3652E4E6456C8C22D9217EBDA4A3_12</vt:lpwstr>
  </property>
</Properties>
</file>