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r>
        <w:rPr>
          <w:spacing w:val="-1"/>
        </w:rPr>
        <w:t>领导力修炼—《数字时代的组织管理》</w:t>
      </w:r>
    </w:p>
    <w:p>
      <w:pPr>
        <w:pStyle w:val="BodyText"/>
        <w:ind w:left="0" w:firstLine="0"/>
        <w:rPr>
          <w:rFonts w:ascii="Noto Sans CJK HK"/>
          <w:b/>
          <w:sz w:val="32"/>
        </w:rPr>
      </w:pPr>
    </w:p>
    <w:p>
      <w:pPr>
        <w:spacing w:before="0"/>
        <w:ind w:left="118" w:right="0" w:firstLine="0"/>
        <w:jc w:val="left"/>
        <w:rPr>
          <w:rFonts w:ascii="Noto Sans CJK HK" w:eastAsia="Noto Sans CJK HK" w:hint="eastAsia"/>
          <w:b/>
          <w:sz w:val="24"/>
        </w:rPr>
      </w:pPr>
      <w:r>
        <w:rPr>
          <w:rFonts w:ascii="Noto Sans CJK HK" w:eastAsia="Noto Sans CJK HK" w:hint="eastAsia"/>
          <w:b/>
          <w:spacing w:val="-2"/>
          <w:sz w:val="24"/>
        </w:rPr>
        <w:t>一、主讲老师：</w:t>
      </w:r>
    </w:p>
    <w:p>
      <w:pPr>
        <w:spacing w:before="186"/>
        <w:ind w:left="777" w:right="0" w:firstLine="0"/>
        <w:jc w:val="left"/>
        <w:rPr>
          <w:rFonts w:ascii="WenQuanYi Micro Hei" w:eastAsia="WenQuanYi Micro Hei" w:hint="eastAsia"/>
          <w:sz w:val="28"/>
        </w:rPr>
      </w:pPr>
      <w:r>
        <w:rPr/>
        <mc:AlternateContent>
          <mc:Choice Requires="wps">
            <w:drawing>
              <wp:anchor distT="0" distB="0" distL="0" distR="0" allowOverlap="1" layoutInCell="1" locked="0" behindDoc="0" simplePos="0" relativeHeight="15728640">
                <wp:simplePos x="0" y="0"/>
                <wp:positionH relativeFrom="page">
                  <wp:posOffset>4331970</wp:posOffset>
                </wp:positionH>
                <wp:positionV relativeFrom="paragraph">
                  <wp:posOffset>161599</wp:posOffset>
                </wp:positionV>
                <wp:extent cx="1226820" cy="2091689"/>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1226820" cy="2091689"/>
                          <a:chExt cx="1226820" cy="2091689"/>
                        </a:xfrm>
                      </wpg:grpSpPr>
                      <pic:pic>
                        <pic:nvPicPr>
                          <pic:cNvPr id="2" name="Image 2"/>
                          <pic:cNvPicPr/>
                        </pic:nvPicPr>
                        <pic:blipFill>
                          <a:blip r:embed="rId5" cstate="print"/>
                          <a:stretch>
                            <a:fillRect/>
                          </a:stretch>
                        </pic:blipFill>
                        <pic:spPr>
                          <a:xfrm>
                            <a:off x="403859" y="0"/>
                            <a:ext cx="521970" cy="373379"/>
                          </a:xfrm>
                          <a:prstGeom prst="rect">
                            <a:avLst/>
                          </a:prstGeom>
                        </pic:spPr>
                      </pic:pic>
                      <pic:pic>
                        <pic:nvPicPr>
                          <pic:cNvPr id="3" name="Image 3"/>
                          <pic:cNvPicPr/>
                        </pic:nvPicPr>
                        <pic:blipFill>
                          <a:blip r:embed="rId6" cstate="print"/>
                          <a:stretch>
                            <a:fillRect/>
                          </a:stretch>
                        </pic:blipFill>
                        <pic:spPr>
                          <a:xfrm>
                            <a:off x="0" y="361950"/>
                            <a:ext cx="1226819" cy="1729739"/>
                          </a:xfrm>
                          <a:prstGeom prst="rect">
                            <a:avLst/>
                          </a:prstGeom>
                        </pic:spPr>
                      </pic:pic>
                    </wpg:wgp>
                  </a:graphicData>
                </a:graphic>
              </wp:anchor>
            </w:drawing>
          </mc:Choice>
          <mc:Fallback>
            <w:pict>
              <v:group style="position:absolute;margin-left:341.100006pt;margin-top:12.72440pt;width:96.6pt;height:164.7pt;mso-position-horizontal-relative:page;mso-position-vertical-relative:paragraph;z-index:15728640" id="docshapegroup1" coordorigin="6822,254" coordsize="1932,3294">
                <v:shape style="position:absolute;left:7458;top:254;width:822;height:588" type="#_x0000_t75" id="docshape2" stroked="false">
                  <v:imagedata r:id="rId5" o:title=""/>
                </v:shape>
                <v:shape style="position:absolute;left:6822;top:824;width:1932;height:2724" type="#_x0000_t75" id="docshape3" stroked="false">
                  <v:imagedata r:id="rId6" o:title=""/>
                </v:shape>
                <w10:wrap type="none"/>
              </v:group>
            </w:pict>
          </mc:Fallback>
        </mc:AlternateContent>
      </w:r>
      <w:r>
        <w:rPr>
          <w:rFonts w:ascii="WenQuanYi Micro Hei" w:eastAsia="WenQuanYi Micro Hei" w:hint="eastAsia"/>
          <w:spacing w:val="-4"/>
          <w:sz w:val="28"/>
        </w:rPr>
        <w:t>刘承林</w:t>
      </w:r>
    </w:p>
    <w:p>
      <w:pPr>
        <w:spacing w:line="433" w:lineRule="exact" w:before="270"/>
        <w:ind w:left="118" w:right="0" w:firstLine="0"/>
        <w:jc w:val="left"/>
        <w:rPr>
          <w:rFonts w:ascii="Noto Sans CJK HK" w:eastAsia="Noto Sans CJK HK" w:hint="eastAsia"/>
          <w:b/>
          <w:sz w:val="24"/>
        </w:rPr>
      </w:pPr>
      <w:r>
        <w:rPr>
          <w:rFonts w:ascii="Noto Sans CJK HK" w:eastAsia="Noto Sans CJK HK" w:hint="eastAsia"/>
          <w:b/>
          <w:spacing w:val="-2"/>
          <w:sz w:val="24"/>
        </w:rPr>
        <w:t>二、老师简介：</w:t>
      </w:r>
    </w:p>
    <w:p>
      <w:pPr>
        <w:spacing w:line="426" w:lineRule="exact" w:before="0"/>
        <w:ind w:left="838" w:right="0" w:firstLine="0"/>
        <w:jc w:val="both"/>
        <w:rPr>
          <w:rFonts w:ascii="Noto Serif CJK JP" w:eastAsia="Noto Serif CJK JP" w:hint="eastAsia"/>
          <w:b/>
          <w:sz w:val="24"/>
        </w:rPr>
      </w:pPr>
      <w:r>
        <w:rPr>
          <w:rFonts w:ascii="Noto Serif CJK JP" w:eastAsia="Noto Serif CJK JP" w:hint="eastAsia"/>
          <w:b/>
          <w:spacing w:val="4"/>
          <w:sz w:val="24"/>
        </w:rPr>
        <w:t>君习商学研究院 院长</w:t>
      </w:r>
    </w:p>
    <w:p>
      <w:pPr>
        <w:spacing w:line="235" w:lineRule="auto" w:before="2"/>
        <w:ind w:left="838" w:right="4919" w:firstLine="0"/>
        <w:jc w:val="both"/>
        <w:rPr>
          <w:rFonts w:ascii="Noto Serif CJK JP" w:eastAsia="Noto Serif CJK JP" w:hint="eastAsia"/>
          <w:b/>
          <w:sz w:val="24"/>
        </w:rPr>
      </w:pPr>
      <w:r>
        <w:rPr>
          <w:rFonts w:ascii="Noto Serif CJK JP" w:eastAsia="Noto Serif CJK JP" w:hint="eastAsia"/>
          <w:b/>
          <w:sz w:val="24"/>
        </w:rPr>
        <w:t>企业组织实战管理 专家导师北大清大企业管理 指导讲师北大清大人力资源 实战讲师</w:t>
      </w:r>
      <w:r>
        <w:rPr>
          <w:rFonts w:ascii="Noto Serif CJK JP" w:eastAsia="Noto Serif CJK JP" w:hint="eastAsia"/>
          <w:b/>
          <w:spacing w:val="2"/>
          <w:sz w:val="24"/>
        </w:rPr>
        <w:t>企业中层管理提升 教练导师</w:t>
      </w:r>
    </w:p>
    <w:p>
      <w:pPr>
        <w:spacing w:line="440" w:lineRule="exact" w:before="0"/>
        <w:ind w:left="838" w:right="0" w:firstLine="0"/>
        <w:jc w:val="left"/>
        <w:rPr>
          <w:rFonts w:ascii="Noto Serif CJK JP" w:eastAsia="Noto Serif CJK JP" w:hint="eastAsia"/>
          <w:b/>
          <w:sz w:val="24"/>
        </w:rPr>
      </w:pPr>
      <w:r>
        <w:rPr>
          <w:rFonts w:ascii="Noto Serif CJK JP" w:eastAsia="Noto Serif CJK JP" w:hint="eastAsia"/>
          <w:b/>
          <w:spacing w:val="2"/>
          <w:sz w:val="24"/>
        </w:rPr>
        <w:t>企业成长陪跑式教练咨询 倡导者</w:t>
      </w:r>
    </w:p>
    <w:p>
      <w:pPr>
        <w:spacing w:line="440" w:lineRule="exact" w:before="0"/>
        <w:ind w:left="718" w:right="0" w:firstLine="0"/>
        <w:jc w:val="left"/>
        <w:rPr>
          <w:rFonts w:ascii="Noto Serif CJK JP" w:eastAsia="Noto Serif CJK JP" w:hint="eastAsia"/>
          <w:b/>
          <w:sz w:val="24"/>
        </w:rPr>
      </w:pPr>
      <w:r>
        <w:rPr>
          <w:rFonts w:ascii="Noto Serif CJK JP" w:eastAsia="Noto Serif CJK JP" w:hint="eastAsia"/>
          <w:b/>
          <w:spacing w:val="-1"/>
          <w:sz w:val="24"/>
        </w:rPr>
        <w:t>具备深度理论体系+丰富实战经验的企业管理双师型专家导师；</w:t>
      </w:r>
    </w:p>
    <w:p>
      <w:pPr>
        <w:spacing w:line="235" w:lineRule="auto" w:before="2"/>
        <w:ind w:left="118" w:right="100" w:firstLine="0"/>
        <w:jc w:val="left"/>
        <w:rPr>
          <w:rFonts w:ascii="Noto Serif CJK JP" w:eastAsia="Noto Serif CJK JP" w:hint="eastAsia"/>
          <w:b/>
          <w:sz w:val="24"/>
        </w:rPr>
      </w:pPr>
      <w:r>
        <w:rPr>
          <w:rFonts w:ascii="Noto Serif CJK JP" w:eastAsia="Noto Serif CJK JP" w:hint="eastAsia"/>
          <w:b/>
          <w:spacing w:val="-12"/>
          <w:sz w:val="24"/>
        </w:rPr>
        <w:t>连续多年被北大、清大总裁班聘为企业管理特约讲师和管理智慧领导力专题讲师；</w:t>
      </w:r>
      <w:r>
        <w:rPr>
          <w:rFonts w:ascii="Noto Serif CJK JP" w:eastAsia="Noto Serif CJK JP" w:hint="eastAsia"/>
          <w:b/>
          <w:spacing w:val="-7"/>
          <w:sz w:val="24"/>
        </w:rPr>
        <w:t>拥有十七年企业团队管理和人才培育孵化实战经验，并被多家企业聘请为企业人</w:t>
      </w:r>
      <w:r>
        <w:rPr>
          <w:rFonts w:ascii="Noto Serif CJK JP" w:eastAsia="Noto Serif CJK JP" w:hint="eastAsia"/>
          <w:b/>
          <w:spacing w:val="80"/>
          <w:sz w:val="24"/>
        </w:rPr>
        <w:t> </w:t>
      </w:r>
      <w:r>
        <w:rPr>
          <w:rFonts w:ascii="Noto Serif CJK JP" w:eastAsia="Noto Serif CJK JP" w:hint="eastAsia"/>
          <w:b/>
          <w:spacing w:val="-1"/>
          <w:sz w:val="24"/>
        </w:rPr>
        <w:t>才管理咨询顾问导师；开设中高层成长特训营达 </w:t>
      </w:r>
      <w:r>
        <w:rPr>
          <w:rFonts w:ascii="Noto Serif CJK JP" w:eastAsia="Noto Serif CJK JP" w:hint="eastAsia"/>
          <w:b/>
          <w:sz w:val="24"/>
        </w:rPr>
        <w:t>200</w:t>
      </w:r>
      <w:r>
        <w:rPr>
          <w:rFonts w:ascii="Noto Serif CJK JP" w:eastAsia="Noto Serif CJK JP" w:hint="eastAsia"/>
          <w:b/>
          <w:spacing w:val="-1"/>
          <w:sz w:val="24"/>
        </w:rPr>
        <w:t> 余场，为中国现代企业培养</w:t>
      </w:r>
    </w:p>
    <w:p>
      <w:pPr>
        <w:spacing w:line="444" w:lineRule="exact" w:before="0"/>
        <w:ind w:left="118" w:right="0" w:firstLine="0"/>
        <w:jc w:val="left"/>
        <w:rPr>
          <w:rFonts w:ascii="Noto Serif CJK JP" w:eastAsia="Noto Serif CJK JP" w:hint="eastAsia"/>
          <w:b/>
          <w:sz w:val="24"/>
        </w:rPr>
      </w:pPr>
      <w:r>
        <w:rPr>
          <w:rFonts w:ascii="Noto Serif CJK JP" w:eastAsia="Noto Serif CJK JP" w:hint="eastAsia"/>
          <w:b/>
          <w:spacing w:val="-4"/>
          <w:sz w:val="24"/>
        </w:rPr>
        <w:t>输送了近 18000</w:t>
      </w:r>
      <w:r>
        <w:rPr>
          <w:rFonts w:ascii="Noto Serif CJK JP" w:eastAsia="Noto Serif CJK JP" w:hint="eastAsia"/>
          <w:b/>
          <w:spacing w:val="-5"/>
          <w:sz w:val="24"/>
        </w:rPr>
        <w:t> 余名具备五力合一职业化专业职业经理人和中高层管理人才。</w:t>
      </w:r>
    </w:p>
    <w:p>
      <w:pPr>
        <w:spacing w:before="117"/>
        <w:ind w:left="118" w:right="0" w:firstLine="0"/>
        <w:jc w:val="left"/>
        <w:rPr>
          <w:rFonts w:ascii="Noto Sans CJK HK" w:eastAsia="Noto Sans CJK HK" w:hint="eastAsia"/>
          <w:b/>
          <w:sz w:val="24"/>
        </w:rPr>
      </w:pPr>
      <w:r>
        <w:rPr>
          <w:rFonts w:ascii="Noto Sans CJK HK" w:eastAsia="Noto Sans CJK HK" w:hint="eastAsia"/>
          <w:b/>
          <w:spacing w:val="-2"/>
          <w:sz w:val="24"/>
        </w:rPr>
        <w:t>三、课程背景：</w:t>
      </w:r>
    </w:p>
    <w:p>
      <w:pPr>
        <w:pStyle w:val="BodyText"/>
        <w:spacing w:line="223" w:lineRule="auto" w:before="110"/>
        <w:ind w:right="217" w:firstLine="420"/>
      </w:pPr>
      <w:r>
        <w:rPr>
          <w:spacing w:val="-2"/>
          <w:sz w:val="21"/>
        </w:rPr>
        <w:t>今天我们</w:t>
      </w:r>
      <w:r>
        <w:rPr>
          <w:spacing w:val="-2"/>
        </w:rPr>
        <w:t>身处数字化生存背景下，大部分组织都展开了组织变革与组织转型，每个组织都渴望拥有优秀者，都希望获得创新创造的能力。对组织而言，强个体展示出的独特性也许是创造力的来源，但也可能是破坏性的始作俑者。与组织协同工作的个体因素到底是什么？这一切对领导者而言意味着什么？我们如何做</w:t>
      </w:r>
      <w:r>
        <w:rPr>
          <w:spacing w:val="40"/>
        </w:rPr>
        <w:t> </w:t>
      </w:r>
      <w:r>
        <w:rPr>
          <w:spacing w:val="-4"/>
        </w:rPr>
        <w:t>好准备?</w:t>
      </w:r>
    </w:p>
    <w:p>
      <w:pPr>
        <w:pStyle w:val="BodyText"/>
        <w:spacing w:line="223" w:lineRule="auto" w:before="120"/>
        <w:ind w:right="217"/>
      </w:pPr>
      <w:r>
        <w:rPr>
          <w:spacing w:val="-16"/>
        </w:rPr>
        <w:t>在大部分情况下，组织稳定性是组织绩效的来源。但是，在一个动态环境里，</w:t>
      </w:r>
      <w:r>
        <w:rPr>
          <w:spacing w:val="-7"/>
        </w:rPr>
        <w:t>只有组织动态特征才能帮助组织获得绩效。环境这一因素的根本性变化需要我们</w:t>
      </w:r>
      <w:r>
        <w:rPr>
          <w:spacing w:val="-2"/>
        </w:rPr>
        <w:t>对究竟怎样的组织才更有效进行进一步的探讨。</w:t>
      </w:r>
    </w:p>
    <w:p>
      <w:pPr>
        <w:pStyle w:val="BodyText"/>
        <w:spacing w:line="266" w:lineRule="auto" w:before="138"/>
        <w:ind w:right="337"/>
        <w:jc w:val="both"/>
      </w:pPr>
      <w:r>
        <w:rPr>
          <w:spacing w:val="-4"/>
        </w:rPr>
        <w:t>从混沌到有序，个体演进、组织发展以及自组织本身都需要应对世界的复杂性，从而实现组织的自主管理、自进化模式以及组织中个体的心灵完整性和组织</w:t>
      </w:r>
      <w:r>
        <w:rPr>
          <w:spacing w:val="-2"/>
        </w:rPr>
        <w:t>的整体性。</w:t>
      </w:r>
    </w:p>
    <w:p>
      <w:pPr>
        <w:spacing w:after="0" w:line="266" w:lineRule="auto"/>
        <w:jc w:val="both"/>
        <w:sectPr>
          <w:type w:val="continuous"/>
          <w:pgSz w:w="11910" w:h="16840"/>
          <w:pgMar w:top="1460" w:bottom="280" w:left="1680" w:right="1460"/>
        </w:sectPr>
      </w:pPr>
    </w:p>
    <w:p>
      <w:pPr>
        <w:pStyle w:val="BodyText"/>
        <w:spacing w:line="418" w:lineRule="exact" w:before="0"/>
        <w:ind w:left="598" w:firstLine="0"/>
      </w:pPr>
      <w:r>
        <w:rPr>
          <w:spacing w:val="-5"/>
        </w:rPr>
        <w:t>如何寻求组织的新价值，借助组织功能转变、结构转型、模式创新、价值牵</w:t>
      </w:r>
    </w:p>
    <w:p>
      <w:pPr>
        <w:pStyle w:val="BodyText"/>
        <w:spacing w:line="266" w:lineRule="auto" w:before="48"/>
        <w:ind w:right="337" w:firstLine="0"/>
        <w:jc w:val="both"/>
      </w:pPr>
      <w:r>
        <w:rPr>
          <w:spacing w:val="-4"/>
        </w:rPr>
        <w:t>引、组织学习等一系列改变，帮助管理者掌握新价值的来源，并最终创造出一种可以激发更多人潜能的组织、一种可以让更多人释放创造力的组织、一种可以持</w:t>
      </w:r>
      <w:r>
        <w:rPr>
          <w:spacing w:val="-2"/>
        </w:rPr>
        <w:t>续发展和开放合作的组织?</w:t>
      </w:r>
    </w:p>
    <w:p>
      <w:pPr>
        <w:spacing w:before="236"/>
        <w:ind w:left="118" w:right="0" w:firstLine="0"/>
        <w:jc w:val="left"/>
        <w:rPr>
          <w:rFonts w:ascii="Noto Sans CJK HK" w:eastAsia="Noto Sans CJK HK" w:hint="eastAsia"/>
          <w:b/>
          <w:sz w:val="24"/>
        </w:rPr>
      </w:pPr>
      <w:r>
        <w:rPr>
          <w:rFonts w:ascii="Noto Sans CJK HK" w:eastAsia="Noto Sans CJK HK" w:hint="eastAsia"/>
          <w:b/>
          <w:spacing w:val="-2"/>
          <w:sz w:val="24"/>
        </w:rPr>
        <w:t>四、课程大纲：</w:t>
      </w:r>
    </w:p>
    <w:p>
      <w:pPr>
        <w:spacing w:before="91"/>
        <w:ind w:left="118" w:right="0" w:firstLine="0"/>
        <w:jc w:val="left"/>
        <w:rPr>
          <w:rFonts w:ascii="Noto Serif CJK JP" w:eastAsia="Noto Serif CJK JP" w:hint="eastAsia"/>
          <w:b/>
          <w:sz w:val="24"/>
        </w:rPr>
      </w:pPr>
      <w:r>
        <w:rPr>
          <w:rFonts w:ascii="Noto Serif CJK JP" w:eastAsia="Noto Serif CJK JP" w:hint="eastAsia"/>
          <w:b/>
          <w:spacing w:val="-1"/>
          <w:sz w:val="24"/>
        </w:rPr>
        <w:t>第一讲：数字时代赋能管理型组织</w:t>
      </w:r>
    </w:p>
    <w:p>
      <w:pPr>
        <w:pStyle w:val="BodyText"/>
        <w:spacing w:line="213" w:lineRule="auto"/>
        <w:ind w:right="217"/>
      </w:pPr>
      <w:r>
        <w:rPr>
          <w:spacing w:val="-2"/>
        </w:rPr>
        <w:t>1、什么是赋能管理。以前在整个组织管理当中，我们讨论最多的是管控的问题。在过去的组织管理当中，管控的确发挥了对绩效积极的作用。因为在这个过程当中，如果我们可以让每个人安于他的角色，让每个人能够发挥他的职责功能，如果我们能够把组织的流程、组织的体系完整地建立起来，就会发现每个人</w:t>
      </w:r>
      <w:r>
        <w:rPr>
          <w:spacing w:val="-17"/>
        </w:rPr>
        <w:t>的角色就能在体系中，把自己的职责发挥出来。所以在过去的整个组织管理当中，</w:t>
      </w:r>
      <w:r>
        <w:rPr>
          <w:spacing w:val="-2"/>
        </w:rPr>
        <w:t>管控是其中最重要的一个要素。</w:t>
      </w:r>
    </w:p>
    <w:p>
      <w:pPr>
        <w:pStyle w:val="BodyText"/>
        <w:spacing w:line="213" w:lineRule="auto" w:before="107"/>
        <w:ind w:right="337"/>
        <w:jc w:val="both"/>
      </w:pPr>
      <w:r>
        <w:rPr>
          <w:spacing w:val="-2"/>
        </w:rPr>
        <w:t>2、为什么要搭建赋能管理型组织？因为今天有两种情形出现，第一种情形</w:t>
      </w:r>
      <w:r>
        <w:rPr>
          <w:spacing w:val="-4"/>
        </w:rPr>
        <w:t>是外部的变化是非常动态。在一个非常动态的变化当中，非常多的企业经营和发展，要有能力不断地因应变化去做对应和调整。如果我们非常固化企业内部的流程、角色，甚至功能的分割，你就会发现它们没有办法去组合起来，很好地应对</w:t>
      </w:r>
      <w:r>
        <w:rPr>
          <w:spacing w:val="-2"/>
        </w:rPr>
        <w:t>外部的变化。因此我们就不能够只做管控，要讨论用赋能的概念。</w:t>
      </w:r>
    </w:p>
    <w:p>
      <w:pPr>
        <w:pStyle w:val="BodyText"/>
        <w:spacing w:line="213" w:lineRule="auto" w:before="110"/>
        <w:ind w:right="337"/>
        <w:jc w:val="both"/>
      </w:pPr>
      <w:r>
        <w:rPr>
          <w:spacing w:val="-4"/>
        </w:rPr>
        <w:t>第二种情形，今天有非常多的强个体，非常有创造力，他自己能够去展示他的才华。组织更重要的是要发挥他巨大的作用，这就必须真正给他去做赋能，而不仅仅是管控。如果不能赋能，仅仅是做管控，员工特别是我们称之为强个体和优秀的员工就会流失。所以我常常跟很多人说，在互联网或者数字时代，看一个企业的组织管理好还是不好，其实主要是看强个体或者优秀的人，是跟组织组合在一起，不断地得到提升，不断地有优秀的人加盟，还是优秀的员工或者强个体是离开这个组织，甚至留在这个组织当中，没有得到任何提升和成长。后者实际</w:t>
      </w:r>
      <w:r>
        <w:rPr>
          <w:spacing w:val="-2"/>
        </w:rPr>
        <w:t>上就等于组织的竞争力不够。</w:t>
      </w:r>
    </w:p>
    <w:p>
      <w:pPr>
        <w:spacing w:before="72"/>
        <w:ind w:left="118" w:right="0" w:firstLine="0"/>
        <w:jc w:val="left"/>
        <w:rPr>
          <w:rFonts w:ascii="Noto Serif CJK JP" w:eastAsia="Noto Serif CJK JP" w:hint="eastAsia"/>
          <w:b/>
          <w:sz w:val="24"/>
        </w:rPr>
      </w:pPr>
      <w:r>
        <w:rPr>
          <w:rFonts w:ascii="Noto Serif CJK JP" w:eastAsia="Noto Serif CJK JP" w:hint="eastAsia"/>
          <w:b/>
          <w:spacing w:val="-1"/>
          <w:sz w:val="24"/>
        </w:rPr>
        <w:t>第二讲：如何搭建共生型组织</w:t>
      </w:r>
    </w:p>
    <w:p>
      <w:pPr>
        <w:pStyle w:val="BodyText"/>
        <w:spacing w:line="213" w:lineRule="auto"/>
        <w:ind w:right="243"/>
        <w:jc w:val="both"/>
      </w:pPr>
      <w:r>
        <w:rPr>
          <w:spacing w:val="-2"/>
        </w:rPr>
        <w:t>在整个数字时代，我们会发现任何一个企业都不能够独立创造价值，必须能够跟更多的组织、更多的系统，甚至跟整个外部环境去做共生，去找到自己的新的成长空间，甚至能够真正让它发展起来。这种真正的成长空间和真正的发展，</w:t>
      </w:r>
      <w:r>
        <w:rPr>
          <w:spacing w:val="-6"/>
        </w:rPr>
        <w:t>需要组织有能力去跟不同的组织和不同的成员去做共生，而不是我们之前所说的</w:t>
      </w:r>
      <w:r>
        <w:rPr>
          <w:spacing w:val="-2"/>
        </w:rPr>
        <w:t>竞争关系。</w:t>
      </w:r>
    </w:p>
    <w:p>
      <w:pPr>
        <w:spacing w:after="0" w:line="213" w:lineRule="auto"/>
        <w:jc w:val="both"/>
        <w:sectPr>
          <w:pgSz w:w="11910" w:h="16840"/>
          <w:pgMar w:top="1560" w:bottom="280" w:left="1680" w:right="1460"/>
        </w:sectPr>
      </w:pPr>
    </w:p>
    <w:p>
      <w:pPr>
        <w:spacing w:line="418" w:lineRule="exact" w:before="0"/>
        <w:ind w:left="598" w:right="0" w:firstLine="0"/>
        <w:jc w:val="left"/>
        <w:rPr>
          <w:rFonts w:ascii="Noto Serif CJK JP" w:eastAsia="Noto Serif CJK JP" w:hint="eastAsia"/>
          <w:b/>
          <w:sz w:val="24"/>
        </w:rPr>
      </w:pPr>
      <w:r>
        <w:rPr>
          <w:rFonts w:ascii="Noto Serif CJK JP" w:eastAsia="Noto Serif CJK JP" w:hint="eastAsia"/>
          <w:b/>
          <w:spacing w:val="-1"/>
          <w:sz w:val="24"/>
        </w:rPr>
        <w:t>第三讲：提升组织的协同性</w:t>
      </w:r>
    </w:p>
    <w:p>
      <w:pPr>
        <w:pStyle w:val="BodyText"/>
        <w:spacing w:line="213" w:lineRule="auto"/>
        <w:ind w:right="217"/>
      </w:pPr>
      <w:r>
        <w:rPr>
          <w:spacing w:val="-2"/>
        </w:rPr>
        <w:t>今天整个组织管理当中，必须完成最重要的一个转变就是协同。很多时候我</w:t>
      </w:r>
      <w:r>
        <w:rPr>
          <w:spacing w:val="-19"/>
        </w:rPr>
        <w:t>们会发现，在一个高速发展的过程当中，最难的是你能不能够跟更多人共同工作，</w:t>
      </w:r>
      <w:r>
        <w:rPr>
          <w:spacing w:val="-2"/>
        </w:rPr>
        <w:t>产生最好的效率。我们跟更多人工作产生最好的效率的最重要的部分，其实是来自于协同本身。</w:t>
      </w:r>
    </w:p>
    <w:p>
      <w:pPr>
        <w:pStyle w:val="BodyText"/>
        <w:spacing w:line="213" w:lineRule="auto" w:before="111"/>
        <w:ind w:right="243"/>
        <w:jc w:val="both"/>
      </w:pPr>
      <w:r>
        <w:rPr>
          <w:spacing w:val="-2"/>
        </w:rPr>
        <w:t>在协同当中，既要求在内部打破部门墙，也要求能够在外部把边界打开，跟更多人合作。我们如果看今天成长好的企业，就会发现，其实它很大的一个效率是来源于协同的效率。效率不再来源于分工，其实来源于协同。第二个根本的变化是在整个绩效当中，最核心的是激励创新，而不是简单的绩效考核。第三个根</w:t>
      </w:r>
      <w:r>
        <w:rPr>
          <w:spacing w:val="-1"/>
        </w:rPr>
        <w:t>本的变化是创立一个全新的文化，这个全新的文化其实是互为主体、共创共生。</w:t>
      </w:r>
    </w:p>
    <w:p>
      <w:pPr>
        <w:spacing w:before="115"/>
        <w:ind w:left="598" w:right="0" w:firstLine="0"/>
        <w:jc w:val="left"/>
        <w:rPr>
          <w:rFonts w:ascii="Noto Sans CJK HK" w:eastAsia="Noto Sans CJK HK" w:hint="eastAsia"/>
          <w:b/>
          <w:sz w:val="24"/>
        </w:rPr>
      </w:pPr>
      <w:r>
        <w:rPr>
          <w:rFonts w:ascii="Noto Sans CJK HK" w:eastAsia="Noto Sans CJK HK" w:hint="eastAsia"/>
          <w:b/>
          <w:spacing w:val="-2"/>
          <w:sz w:val="24"/>
        </w:rPr>
        <w:t>五、课程收益：</w:t>
      </w:r>
    </w:p>
    <w:p>
      <w:pPr>
        <w:pStyle w:val="BodyText"/>
        <w:spacing w:line="264" w:lineRule="auto" w:before="9"/>
        <w:ind w:left="838" w:right="603" w:hanging="240"/>
      </w:pPr>
      <w:r>
        <w:rPr>
          <w:spacing w:val="-2"/>
        </w:rPr>
        <w:t>1、通过学习让学员掌握数字时代组织管理的技能，从而很好的做到内观</w:t>
      </w:r>
      <w:r>
        <w:rPr>
          <w:spacing w:val="-4"/>
        </w:rPr>
        <w:t>外测；</w:t>
      </w:r>
    </w:p>
    <w:p>
      <w:pPr>
        <w:pStyle w:val="BodyText"/>
        <w:spacing w:before="6"/>
        <w:ind w:left="598" w:firstLine="0"/>
      </w:pPr>
      <w:r>
        <w:rPr>
          <w:spacing w:val="-4"/>
        </w:rPr>
        <w:t>2</w:t>
      </w:r>
      <w:r>
        <w:rPr>
          <w:spacing w:val="-5"/>
        </w:rPr>
        <w:t>、通过学员让学员可以在日常工作中团队协作更加畅通高效，提高战斗力；</w:t>
      </w:r>
    </w:p>
    <w:p>
      <w:pPr>
        <w:pStyle w:val="BodyText"/>
        <w:spacing w:line="264" w:lineRule="auto" w:before="49"/>
        <w:ind w:left="958" w:right="363" w:hanging="360"/>
      </w:pPr>
      <w:r>
        <w:rPr>
          <w:spacing w:val="-2"/>
        </w:rPr>
        <w:t>3、通过学习让学员在管理岗位上可以很好的做到人尽其才，提高部门执行力和人效比。</w:t>
      </w:r>
    </w:p>
    <w:p>
      <w:pPr>
        <w:pStyle w:val="BodyText"/>
        <w:spacing w:line="266" w:lineRule="auto" w:before="5"/>
        <w:ind w:left="1018" w:right="363" w:hanging="420"/>
      </w:pPr>
      <w:r>
        <w:rPr>
          <w:spacing w:val="-2"/>
        </w:rPr>
        <w:t>4、通过学习可以让企业中高层更好的掌握数字时代成为赋能型管理者的认知与技能；</w:t>
      </w:r>
    </w:p>
    <w:p>
      <w:pPr>
        <w:pStyle w:val="BodyText"/>
        <w:spacing w:line="266" w:lineRule="auto" w:before="0"/>
        <w:ind w:left="838" w:right="363" w:hanging="240"/>
      </w:pPr>
      <w:r>
        <w:rPr>
          <w:spacing w:val="-2"/>
        </w:rPr>
        <w:t>5、通过学习可以让企业管理者在提升组织效能做到对人员进行更精准的定位与匹配，大大提高企业的人效比。</w:t>
      </w:r>
    </w:p>
    <w:p>
      <w:pPr>
        <w:spacing w:before="229"/>
        <w:ind w:left="118" w:right="0" w:firstLine="0"/>
        <w:jc w:val="left"/>
        <w:rPr>
          <w:rFonts w:ascii="Noto Sans CJK HK" w:eastAsia="Noto Sans CJK HK" w:hint="eastAsia"/>
          <w:b/>
          <w:sz w:val="24"/>
        </w:rPr>
      </w:pPr>
      <w:r>
        <w:rPr>
          <w:rFonts w:ascii="Noto Sans CJK HK" w:eastAsia="Noto Sans CJK HK" w:hint="eastAsia"/>
          <w:b/>
          <w:spacing w:val="-2"/>
          <w:sz w:val="24"/>
        </w:rPr>
        <w:t>六、课程时长：</w:t>
      </w:r>
    </w:p>
    <w:p>
      <w:pPr>
        <w:pStyle w:val="BodyText"/>
        <w:tabs>
          <w:tab w:pos="2398" w:val="left" w:leader="none"/>
        </w:tabs>
        <w:spacing w:before="260"/>
        <w:ind w:left="958" w:firstLine="0"/>
      </w:pPr>
      <w:r>
        <w:rPr/>
        <w:t>一天或两</w:t>
      </w:r>
      <w:r>
        <w:rPr>
          <w:spacing w:val="-10"/>
        </w:rPr>
        <w:t>天</w:t>
      </w:r>
      <w:r>
        <w:rPr/>
        <w:tab/>
        <w:t>09:00-</w:t>
      </w:r>
      <w:r>
        <w:rPr>
          <w:spacing w:val="-2"/>
        </w:rPr>
        <w:t>17:00</w:t>
      </w:r>
    </w:p>
    <w:p>
      <w:pPr>
        <w:spacing w:before="252"/>
        <w:ind w:left="118" w:right="0" w:firstLine="0"/>
        <w:jc w:val="left"/>
        <w:rPr>
          <w:rFonts w:ascii="Noto Sans CJK HK" w:eastAsia="Noto Sans CJK HK" w:hint="eastAsia"/>
          <w:b/>
          <w:sz w:val="24"/>
        </w:rPr>
      </w:pPr>
      <w:r>
        <w:rPr>
          <w:rFonts w:ascii="Noto Sans CJK HK" w:eastAsia="Noto Sans CJK HK" w:hint="eastAsia"/>
          <w:b/>
          <w:spacing w:val="-2"/>
          <w:sz w:val="24"/>
        </w:rPr>
        <w:t>七、授课对象：</w:t>
      </w:r>
    </w:p>
    <w:p>
      <w:pPr>
        <w:pStyle w:val="BodyText"/>
        <w:spacing w:before="260"/>
        <w:ind w:left="958" w:firstLine="0"/>
      </w:pPr>
      <w:r>
        <w:rPr>
          <w:spacing w:val="-1"/>
        </w:rPr>
        <w:t>企业中高层管理及核心骨干</w:t>
      </w:r>
    </w:p>
    <w:sectPr>
      <w:pgSz w:w="11910" w:h="16840"/>
      <w:pgMar w:top="1480" w:bottom="280" w:left="1680" w:right="14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Noto Sans CJK HK">
    <w:altName w:val="Noto Sans CJK HK"/>
    <w:charset w:val="0"/>
    <w:family w:val="swiss"/>
    <w:pitch w:val="variable"/>
  </w:font>
  <w:font w:name="WenQuanYi Micro Hei">
    <w:altName w:val="WenQuanYi Micro Hei"/>
    <w:charset w:val="0"/>
    <w:family w:val="swiss"/>
    <w:pitch w:val="variable"/>
  </w:font>
  <w:font w:name="Noto Serif CJK JP">
    <w:altName w:val="Noto Serif CJK JP"/>
    <w:charset w:val="0"/>
    <w:family w:val="roman"/>
    <w:pitch w:val="variable"/>
  </w:font>
  <w:font w:name="Noto Sans Mono CJK HK">
    <w:altName w:val="Noto Sans Mono CJK HK"/>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Noto Sans Mono CJK HK" w:hAnsi="Noto Sans Mono CJK HK" w:eastAsia="Noto Sans Mono CJK HK" w:cs="Noto Sans Mono CJK HK"/>
      <w:lang w:val="en-US" w:eastAsia="zh-CN" w:bidi="ar-SA"/>
    </w:rPr>
  </w:style>
  <w:style w:styleId="BodyText" w:type="paragraph">
    <w:name w:val="Body Text"/>
    <w:basedOn w:val="Normal"/>
    <w:uiPriority w:val="1"/>
    <w:qFormat/>
    <w:pPr>
      <w:spacing w:before="103"/>
      <w:ind w:left="118" w:firstLine="480"/>
    </w:pPr>
    <w:rPr>
      <w:rFonts w:ascii="Noto Sans Mono CJK HK" w:hAnsi="Noto Sans Mono CJK HK" w:eastAsia="Noto Sans Mono CJK HK" w:cs="Noto Sans Mono CJK HK"/>
      <w:sz w:val="24"/>
      <w:szCs w:val="24"/>
      <w:lang w:val="en-US" w:eastAsia="zh-CN" w:bidi="ar-SA"/>
    </w:rPr>
  </w:style>
  <w:style w:styleId="Title" w:type="paragraph">
    <w:name w:val="Title"/>
    <w:basedOn w:val="Normal"/>
    <w:uiPriority w:val="1"/>
    <w:qFormat/>
    <w:pPr>
      <w:ind w:right="221"/>
      <w:jc w:val="center"/>
    </w:pPr>
    <w:rPr>
      <w:rFonts w:ascii="Noto Sans CJK HK" w:hAnsi="Noto Sans CJK HK" w:eastAsia="Noto Sans CJK HK" w:cs="Noto Sans CJK HK"/>
      <w:b/>
      <w:bCs/>
      <w:sz w:val="32"/>
      <w:szCs w:val="32"/>
      <w:lang w:val="en-US" w:eastAsia="zh-CN" w:bidi="ar-SA"/>
    </w:rPr>
  </w:style>
  <w:style w:styleId="ListParagraph" w:type="paragraph">
    <w:name w:val="List Paragraph"/>
    <w:basedOn w:val="Normal"/>
    <w:uiPriority w:val="1"/>
    <w:qFormat/>
    <w:pPr/>
    <w:rPr>
      <w:lang w:val="en-US" w:eastAsia="zh-CN" w:bidi="ar-SA"/>
    </w:rPr>
  </w:style>
  <w:style w:styleId="TableParagraph" w:type="paragraph">
    <w:name w:val="Table Paragraph"/>
    <w:basedOn w:val="Normal"/>
    <w:uiPriority w:val="1"/>
    <w:qFormat/>
    <w:pPr/>
    <w:rPr>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dc:title>&lt;332E20C1ECB5BCC1A6D0DEC1B6A1AACAFDD7D6CAB1B4FAB5C4D7E9D6AFB9DCC0ED2E646F6378&gt;</dc:title>
  <dcterms:created xsi:type="dcterms:W3CDTF">2024-04-18T06:12:07Z</dcterms:created>
  <dcterms:modified xsi:type="dcterms:W3CDTF">2024-04-18T06:12:07Z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2024-03-14T00:00:00Z</vt:filetime>
  </property>
  <property fmtid="{D5CDD505-2E9C-101B-9397-08002B2CF9AE}" pid="3" name="Creator">
    <vt:lpwstr>PScript5.dll Version 5.2.2</vt:lpwstr>
  </property>
  <property fmtid="{D5CDD505-2E9C-101B-9397-08002B2CF9AE}" pid="4" name="LastSaved">
    <vt:filetime>2024-04-18T00:00:00Z</vt:filetime>
  </property>
  <property fmtid="{D5CDD505-2E9C-101B-9397-08002B2CF9AE}" pid="5" name="Producer">
    <vt:lpwstr>3-Heights(TM) PDF Security Shell 4.8.25.2 (http://www.pdf-tools.com)</vt:lpwstr>
  </property>
</Properties>
</file>