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  <w:bookmarkStart w:id="0" w:name="_GoBack"/>
      <w:bookmarkEnd w:id="0"/>
    </w:p>
    <w:p>
      <w:pPr>
        <w:rPr>
          <w:rFonts w:hint="eastAsia"/>
        </w:rPr>
      </w:pPr>
    </w:p>
    <w:p>
      <w:pPr>
        <w:jc w:val="center"/>
        <w:rPr>
          <w:rFonts w:hint="eastAsia" w:ascii="微软雅黑" w:hAnsi="微软雅黑" w:eastAsia="微软雅黑"/>
          <w:b/>
          <w:color w:val="000000"/>
          <w:sz w:val="32"/>
          <w:szCs w:val="32"/>
        </w:rPr>
      </w:pPr>
      <w:r>
        <w:rPr>
          <w:rFonts w:hint="eastAsia" w:ascii="微软雅黑" w:hAnsi="微软雅黑" w:eastAsia="微软雅黑"/>
          <w:b/>
          <w:color w:val="000000"/>
          <w:sz w:val="32"/>
          <w:szCs w:val="32"/>
        </w:rPr>
        <w:t>儒家文化与卓越领导力</w:t>
      </w:r>
    </w:p>
    <w:p>
      <w:pPr>
        <w:rPr>
          <w:rFonts w:hint="eastAsia" w:ascii="微软雅黑" w:hAnsi="微软雅黑" w:eastAsia="微软雅黑"/>
          <w:color w:val="000000"/>
          <w:sz w:val="24"/>
        </w:rPr>
      </w:pPr>
      <w:r>
        <w:rPr>
          <w:rFonts w:hint="eastAsia" w:ascii="微软雅黑" w:hAnsi="微软雅黑" w:eastAsia="微软雅黑"/>
          <w:color w:val="000000"/>
          <w:sz w:val="24"/>
        </w:rPr>
        <w:t>【课程主旨】</w:t>
      </w:r>
    </w:p>
    <w:p>
      <w:pPr>
        <w:spacing w:line="480" w:lineRule="auto"/>
        <w:ind w:firstLine="360" w:firstLineChars="150"/>
        <w:rPr>
          <w:rFonts w:hint="eastAsia" w:ascii="微软雅黑" w:hAnsi="微软雅黑" w:eastAsia="微软雅黑"/>
          <w:sz w:val="24"/>
        </w:rPr>
      </w:pPr>
      <w:r>
        <w:rPr>
          <w:rFonts w:hint="eastAsia" w:ascii="微软雅黑" w:hAnsi="微软雅黑" w:eastAsia="微软雅黑"/>
          <w:sz w:val="24"/>
        </w:rPr>
        <w:t>当代中国的竞争是领导力的竞争，引领潮流，把握方向。领导者的视野、思维模式和人文底蕴决定着一个团体、一个企业的高度。传承千年的国学智慧，是中华文明的精髓，也是中华民族宝贵的精神财富。</w:t>
      </w:r>
    </w:p>
    <w:p>
      <w:pPr>
        <w:spacing w:line="480" w:lineRule="auto"/>
        <w:rPr>
          <w:rFonts w:hint="eastAsia" w:ascii="微软雅黑" w:hAnsi="微软雅黑" w:eastAsia="微软雅黑"/>
          <w:sz w:val="24"/>
        </w:rPr>
      </w:pPr>
    </w:p>
    <w:p>
      <w:pPr>
        <w:spacing w:line="480" w:lineRule="auto"/>
        <w:ind w:firstLine="480" w:firstLineChars="200"/>
        <w:rPr>
          <w:rFonts w:hint="eastAsia" w:ascii="微软雅黑" w:hAnsi="微软雅黑" w:eastAsia="微软雅黑"/>
          <w:sz w:val="24"/>
        </w:rPr>
      </w:pPr>
      <w:r>
        <w:rPr>
          <w:rFonts w:hint="eastAsia" w:ascii="微软雅黑" w:hAnsi="微软雅黑" w:eastAsia="微软雅黑"/>
          <w:sz w:val="24"/>
        </w:rPr>
        <w:t>面对复杂多变的形势，剧烈的东西方文化碰撞，国学智慧对于领导力提升有着独特的影响。儒家的进取，道家的无为，佛家的超越，禅宗的修持，易经的玄妙，在今天国学复兴的今天被赋予了新的意义。</w:t>
      </w:r>
    </w:p>
    <w:p>
      <w:pPr>
        <w:spacing w:line="480" w:lineRule="auto"/>
        <w:rPr>
          <w:rFonts w:hint="eastAsia" w:ascii="微软雅黑" w:hAnsi="微软雅黑" w:eastAsia="微软雅黑"/>
          <w:sz w:val="24"/>
        </w:rPr>
      </w:pPr>
    </w:p>
    <w:p>
      <w:pPr>
        <w:spacing w:line="480" w:lineRule="auto"/>
        <w:rPr>
          <w:rFonts w:hint="eastAsia" w:ascii="微软雅黑" w:hAnsi="微软雅黑" w:eastAsia="微软雅黑"/>
          <w:sz w:val="24"/>
        </w:rPr>
      </w:pPr>
      <w:r>
        <w:rPr>
          <w:rFonts w:hint="eastAsia" w:ascii="微软雅黑" w:hAnsi="微软雅黑" w:eastAsia="微软雅黑"/>
          <w:sz w:val="24"/>
        </w:rPr>
        <w:t>“不学易不以为良相”“半部《论语》治天下”，对于中国人来说，修身齐家治国平天下的理想中，侵浸着国学的博大智慧，也包含了心忧天下的人文理想。在大国崛起的今天，重温国学，对于一个优秀的领导者和未来的领导者都具有深远的意义。</w:t>
      </w:r>
    </w:p>
    <w:p>
      <w:pPr>
        <w:rPr>
          <w:rFonts w:hint="eastAsia" w:ascii="微软雅黑" w:hAnsi="微软雅黑" w:eastAsia="微软雅黑"/>
          <w:sz w:val="24"/>
        </w:rPr>
      </w:pPr>
    </w:p>
    <w:p>
      <w:pPr>
        <w:rPr>
          <w:rFonts w:hint="eastAsia" w:ascii="微软雅黑" w:hAnsi="微软雅黑" w:eastAsia="微软雅黑"/>
          <w:sz w:val="24"/>
        </w:rPr>
      </w:pPr>
      <w:r>
        <w:rPr>
          <w:rFonts w:hint="eastAsia" w:ascii="微软雅黑" w:hAnsi="微软雅黑" w:eastAsia="微软雅黑"/>
          <w:sz w:val="24"/>
        </w:rPr>
        <w:t>【课程收益】</w:t>
      </w:r>
    </w:p>
    <w:p>
      <w:pPr>
        <w:rPr>
          <w:rFonts w:hint="eastAsia" w:ascii="微软雅黑" w:hAnsi="微软雅黑" w:eastAsia="微软雅黑"/>
          <w:sz w:val="24"/>
        </w:rPr>
      </w:pPr>
      <w:r>
        <w:rPr>
          <w:rFonts w:hint="eastAsia" w:ascii="微软雅黑" w:hAnsi="微软雅黑" w:eastAsia="微软雅黑"/>
          <w:sz w:val="24"/>
        </w:rPr>
        <w:t>一、通过学习，了解儒家思想的发展和沿革，了解儒家思想对于中国文化的意义。</w:t>
      </w:r>
    </w:p>
    <w:p>
      <w:pPr>
        <w:rPr>
          <w:rFonts w:hint="eastAsia" w:ascii="微软雅黑" w:hAnsi="微软雅黑" w:eastAsia="微软雅黑"/>
          <w:sz w:val="24"/>
        </w:rPr>
      </w:pPr>
    </w:p>
    <w:p>
      <w:pPr>
        <w:rPr>
          <w:rFonts w:hint="eastAsia" w:ascii="微软雅黑" w:hAnsi="微软雅黑" w:eastAsia="微软雅黑"/>
          <w:sz w:val="24"/>
        </w:rPr>
      </w:pPr>
      <w:r>
        <w:rPr>
          <w:rFonts w:hint="eastAsia" w:ascii="微软雅黑" w:hAnsi="微软雅黑" w:eastAsia="微软雅黑"/>
          <w:sz w:val="24"/>
        </w:rPr>
        <w:t xml:space="preserve"> 二、通过学习，深刻理解儒家文化的思想对于中华民族精神和价值观的影响。</w:t>
      </w:r>
    </w:p>
    <w:p>
      <w:pPr>
        <w:rPr>
          <w:rFonts w:hint="eastAsia" w:ascii="微软雅黑" w:hAnsi="微软雅黑" w:eastAsia="微软雅黑"/>
          <w:sz w:val="24"/>
        </w:rPr>
      </w:pPr>
    </w:p>
    <w:p>
      <w:pPr>
        <w:rPr>
          <w:rFonts w:hint="eastAsia" w:ascii="微软雅黑" w:hAnsi="微软雅黑" w:eastAsia="微软雅黑"/>
          <w:sz w:val="24"/>
        </w:rPr>
      </w:pPr>
      <w:r>
        <w:rPr>
          <w:rFonts w:hint="eastAsia" w:ascii="微软雅黑" w:hAnsi="微软雅黑" w:eastAsia="微软雅黑"/>
          <w:sz w:val="24"/>
        </w:rPr>
        <w:t>三、通过本课程学习，了解儒家政治智慧，在现代社会中确立正确的人生观、价</w:t>
      </w:r>
    </w:p>
    <w:p>
      <w:pPr>
        <w:rPr>
          <w:rFonts w:hint="eastAsia" w:ascii="微软雅黑" w:hAnsi="微软雅黑" w:eastAsia="微软雅黑"/>
          <w:sz w:val="24"/>
        </w:rPr>
      </w:pPr>
    </w:p>
    <w:p>
      <w:pPr>
        <w:rPr>
          <w:rFonts w:hint="eastAsia" w:ascii="微软雅黑" w:hAnsi="微软雅黑" w:eastAsia="微软雅黑"/>
          <w:sz w:val="24"/>
        </w:rPr>
      </w:pPr>
      <w:r>
        <w:rPr>
          <w:rFonts w:hint="eastAsia" w:ascii="微软雅黑" w:hAnsi="微软雅黑" w:eastAsia="微软雅黑"/>
          <w:sz w:val="24"/>
        </w:rPr>
        <w:t>值观，提升管理能力。</w:t>
      </w:r>
    </w:p>
    <w:p>
      <w:pPr>
        <w:rPr>
          <w:rFonts w:hint="eastAsia" w:ascii="微软雅黑" w:hAnsi="微软雅黑" w:eastAsia="微软雅黑"/>
          <w:sz w:val="24"/>
        </w:rPr>
      </w:pPr>
    </w:p>
    <w:p>
      <w:pPr>
        <w:rPr>
          <w:rFonts w:hint="eastAsia" w:ascii="微软雅黑" w:hAnsi="微软雅黑" w:eastAsia="微软雅黑"/>
          <w:sz w:val="24"/>
        </w:rPr>
      </w:pPr>
      <w:r>
        <w:rPr>
          <w:rFonts w:hint="eastAsia" w:ascii="微软雅黑" w:hAnsi="微软雅黑" w:eastAsia="微软雅黑"/>
          <w:sz w:val="24"/>
        </w:rPr>
        <w:t>【课程对象】</w:t>
      </w:r>
    </w:p>
    <w:p>
      <w:pPr>
        <w:rPr>
          <w:rFonts w:hint="eastAsia" w:ascii="微软雅黑" w:hAnsi="微软雅黑" w:eastAsia="微软雅黑"/>
          <w:sz w:val="24"/>
        </w:rPr>
      </w:pPr>
      <w:r>
        <w:rPr>
          <w:rFonts w:hint="eastAsia" w:ascii="微软雅黑" w:hAnsi="微软雅黑" w:eastAsia="微软雅黑"/>
          <w:sz w:val="24"/>
        </w:rPr>
        <w:t>企业中高层管理者,基层管理干部</w:t>
      </w:r>
    </w:p>
    <w:p>
      <w:pPr>
        <w:rPr>
          <w:rFonts w:hint="eastAsia" w:ascii="微软雅黑" w:hAnsi="微软雅黑" w:eastAsia="微软雅黑"/>
          <w:sz w:val="24"/>
        </w:rPr>
      </w:pPr>
      <w:r>
        <w:rPr>
          <w:rFonts w:hint="eastAsia" w:ascii="微软雅黑" w:hAnsi="微软雅黑" w:eastAsia="微软雅黑"/>
          <w:sz w:val="24"/>
        </w:rPr>
        <w:t>【课程大纲】</w:t>
      </w:r>
    </w:p>
    <w:p>
      <w:pPr>
        <w:rPr>
          <w:rFonts w:hint="eastAsia" w:ascii="微软雅黑" w:hAnsi="微软雅黑" w:eastAsia="微软雅黑"/>
          <w:sz w:val="24"/>
        </w:rPr>
      </w:pPr>
      <w:r>
        <w:rPr>
          <w:rFonts w:hint="eastAsia" w:ascii="微软雅黑" w:hAnsi="微软雅黑" w:eastAsia="微软雅黑"/>
          <w:sz w:val="24"/>
        </w:rPr>
        <w:t>第一讲  儒家文化的经典精神</w:t>
      </w:r>
    </w:p>
    <w:p>
      <w:pPr>
        <w:rPr>
          <w:rFonts w:hint="eastAsia" w:ascii="微软雅黑" w:hAnsi="微软雅黑" w:eastAsia="微软雅黑"/>
          <w:sz w:val="24"/>
        </w:rPr>
      </w:pPr>
      <w:r>
        <w:rPr>
          <w:rFonts w:hint="eastAsia" w:ascii="微软雅黑" w:hAnsi="微软雅黑" w:eastAsia="微软雅黑"/>
          <w:sz w:val="24"/>
        </w:rPr>
        <w:t>一、天人合一</w:t>
      </w:r>
    </w:p>
    <w:p>
      <w:pPr>
        <w:ind w:left="420" w:leftChars="200"/>
        <w:rPr>
          <w:rFonts w:ascii="微软雅黑" w:hAnsi="微软雅黑" w:eastAsia="微软雅黑"/>
          <w:sz w:val="24"/>
        </w:rPr>
      </w:pPr>
      <w:r>
        <w:rPr>
          <w:rFonts w:hint="eastAsia" w:ascii="微软雅黑" w:hAnsi="微软雅黑" w:eastAsia="微软雅黑"/>
          <w:sz w:val="24"/>
        </w:rPr>
        <w:t>1、简析中国传统文化</w:t>
      </w:r>
    </w:p>
    <w:p>
      <w:pPr>
        <w:ind w:left="420" w:leftChars="200"/>
        <w:rPr>
          <w:rFonts w:hint="eastAsia" w:ascii="微软雅黑" w:hAnsi="微软雅黑" w:eastAsia="微软雅黑"/>
          <w:sz w:val="24"/>
        </w:rPr>
      </w:pPr>
      <w:r>
        <w:rPr>
          <w:rFonts w:hint="eastAsia" w:ascii="微软雅黑" w:hAnsi="微软雅黑" w:eastAsia="微软雅黑"/>
          <w:sz w:val="24"/>
        </w:rPr>
        <w:t>2、中国传统文化的核心精神</w:t>
      </w:r>
    </w:p>
    <w:p>
      <w:pPr>
        <w:ind w:left="420" w:leftChars="200"/>
        <w:rPr>
          <w:rFonts w:hint="eastAsia" w:ascii="微软雅黑" w:hAnsi="微软雅黑" w:eastAsia="微软雅黑"/>
          <w:sz w:val="24"/>
        </w:rPr>
      </w:pPr>
      <w:r>
        <w:rPr>
          <w:rFonts w:hint="eastAsia" w:ascii="微软雅黑" w:hAnsi="微软雅黑" w:eastAsia="微软雅黑"/>
          <w:sz w:val="24"/>
        </w:rPr>
        <w:t>3、中国文化的特征</w:t>
      </w:r>
    </w:p>
    <w:p>
      <w:pPr>
        <w:numPr>
          <w:ilvl w:val="0"/>
          <w:numId w:val="1"/>
        </w:numPr>
        <w:ind w:left="420" w:leftChars="200"/>
        <w:rPr>
          <w:rFonts w:hint="eastAsia" w:ascii="微软雅黑" w:hAnsi="微软雅黑" w:eastAsia="微软雅黑"/>
          <w:sz w:val="24"/>
        </w:rPr>
      </w:pPr>
      <w:r>
        <w:rPr>
          <w:rFonts w:hint="eastAsia" w:ascii="微软雅黑" w:hAnsi="微软雅黑" w:eastAsia="微软雅黑"/>
          <w:sz w:val="24"/>
        </w:rPr>
        <w:t>儒家思想为什么成为官方意识形态</w:t>
      </w:r>
    </w:p>
    <w:p>
      <w:pPr>
        <w:rPr>
          <w:rFonts w:hint="eastAsia" w:ascii="微软雅黑" w:hAnsi="微软雅黑" w:eastAsia="微软雅黑"/>
          <w:sz w:val="24"/>
        </w:rPr>
      </w:pPr>
      <w:r>
        <w:rPr>
          <w:rFonts w:hint="eastAsia" w:ascii="微软雅黑" w:hAnsi="微软雅黑" w:eastAsia="微软雅黑"/>
          <w:sz w:val="24"/>
        </w:rPr>
        <w:t>二、和而不同</w:t>
      </w:r>
    </w:p>
    <w:p>
      <w:pPr>
        <w:numPr>
          <w:ilvl w:val="0"/>
          <w:numId w:val="2"/>
        </w:numPr>
        <w:tabs>
          <w:tab w:val="left" w:pos="780"/>
          <w:tab w:val="clear" w:pos="360"/>
        </w:tabs>
        <w:ind w:left="420" w:leftChars="200"/>
        <w:rPr>
          <w:rFonts w:hint="eastAsia" w:ascii="微软雅黑" w:hAnsi="微软雅黑" w:eastAsia="微软雅黑"/>
          <w:sz w:val="24"/>
        </w:rPr>
      </w:pPr>
      <w:r>
        <w:rPr>
          <w:rFonts w:hint="eastAsia" w:ascii="微软雅黑" w:hAnsi="微软雅黑" w:eastAsia="微软雅黑"/>
          <w:sz w:val="24"/>
        </w:rPr>
        <w:t>和的意义</w:t>
      </w:r>
    </w:p>
    <w:p>
      <w:pPr>
        <w:numPr>
          <w:ilvl w:val="0"/>
          <w:numId w:val="2"/>
        </w:numPr>
        <w:tabs>
          <w:tab w:val="left" w:pos="780"/>
          <w:tab w:val="clear" w:pos="360"/>
        </w:tabs>
        <w:ind w:left="420" w:leftChars="200"/>
        <w:rPr>
          <w:rFonts w:hint="eastAsia" w:ascii="微软雅黑" w:hAnsi="微软雅黑" w:eastAsia="微软雅黑"/>
          <w:sz w:val="24"/>
        </w:rPr>
      </w:pPr>
      <w:r>
        <w:rPr>
          <w:rFonts w:hint="eastAsia" w:ascii="微软雅黑" w:hAnsi="微软雅黑" w:eastAsia="微软雅黑"/>
          <w:sz w:val="24"/>
        </w:rPr>
        <w:t>致中于和</w:t>
      </w:r>
    </w:p>
    <w:p>
      <w:pPr>
        <w:numPr>
          <w:ilvl w:val="0"/>
          <w:numId w:val="2"/>
        </w:numPr>
        <w:tabs>
          <w:tab w:val="left" w:pos="780"/>
          <w:tab w:val="clear" w:pos="360"/>
        </w:tabs>
        <w:ind w:left="420" w:leftChars="200"/>
        <w:rPr>
          <w:rFonts w:hint="eastAsia" w:ascii="微软雅黑" w:hAnsi="微软雅黑" w:eastAsia="微软雅黑"/>
          <w:sz w:val="24"/>
        </w:rPr>
      </w:pPr>
      <w:r>
        <w:rPr>
          <w:rFonts w:hint="eastAsia" w:ascii="微软雅黑" w:hAnsi="微软雅黑" w:eastAsia="微软雅黑"/>
          <w:sz w:val="24"/>
        </w:rPr>
        <w:t>中和的意义</w:t>
      </w:r>
    </w:p>
    <w:p>
      <w:pPr>
        <w:rPr>
          <w:rFonts w:hint="eastAsia" w:ascii="微软雅黑" w:hAnsi="微软雅黑" w:eastAsia="微软雅黑"/>
          <w:sz w:val="24"/>
        </w:rPr>
      </w:pPr>
      <w:r>
        <w:rPr>
          <w:rFonts w:hint="eastAsia" w:ascii="微软雅黑" w:hAnsi="微软雅黑" w:eastAsia="微软雅黑"/>
          <w:sz w:val="24"/>
        </w:rPr>
        <w:t>第二讲 儒家文化的政治智慧</w:t>
      </w:r>
    </w:p>
    <w:p>
      <w:pPr>
        <w:numPr>
          <w:ilvl w:val="0"/>
          <w:numId w:val="3"/>
        </w:numPr>
        <w:tabs>
          <w:tab w:val="left" w:pos="780"/>
          <w:tab w:val="clear" w:pos="360"/>
        </w:tabs>
        <w:ind w:left="420" w:leftChars="200"/>
        <w:rPr>
          <w:rFonts w:hint="eastAsia" w:ascii="微软雅黑" w:hAnsi="微软雅黑" w:eastAsia="微软雅黑"/>
          <w:sz w:val="24"/>
        </w:rPr>
      </w:pPr>
      <w:r>
        <w:rPr>
          <w:rFonts w:hint="eastAsia" w:ascii="微软雅黑" w:hAnsi="微软雅黑" w:eastAsia="微软雅黑"/>
          <w:sz w:val="24"/>
        </w:rPr>
        <w:t>本分原则</w:t>
      </w:r>
    </w:p>
    <w:p>
      <w:pPr>
        <w:numPr>
          <w:ilvl w:val="0"/>
          <w:numId w:val="3"/>
        </w:numPr>
        <w:tabs>
          <w:tab w:val="left" w:pos="780"/>
          <w:tab w:val="clear" w:pos="360"/>
        </w:tabs>
        <w:ind w:left="420" w:leftChars="200"/>
        <w:rPr>
          <w:rFonts w:hint="eastAsia" w:ascii="微软雅黑" w:hAnsi="微软雅黑" w:eastAsia="微软雅黑"/>
          <w:sz w:val="24"/>
        </w:rPr>
      </w:pPr>
      <w:r>
        <w:rPr>
          <w:rFonts w:hint="eastAsia" w:ascii="微软雅黑" w:hAnsi="微软雅黑" w:eastAsia="微软雅黑"/>
          <w:sz w:val="24"/>
        </w:rPr>
        <w:t>等级原则</w:t>
      </w:r>
    </w:p>
    <w:p>
      <w:pPr>
        <w:numPr>
          <w:ilvl w:val="0"/>
          <w:numId w:val="3"/>
        </w:numPr>
        <w:tabs>
          <w:tab w:val="left" w:pos="780"/>
          <w:tab w:val="clear" w:pos="360"/>
        </w:tabs>
        <w:ind w:left="420" w:leftChars="200"/>
        <w:rPr>
          <w:rFonts w:hint="eastAsia" w:ascii="微软雅黑" w:hAnsi="微软雅黑" w:eastAsia="微软雅黑"/>
          <w:sz w:val="24"/>
        </w:rPr>
      </w:pPr>
      <w:r>
        <w:rPr>
          <w:rFonts w:hint="eastAsia" w:ascii="微软雅黑" w:hAnsi="微软雅黑" w:eastAsia="微软雅黑"/>
          <w:sz w:val="24"/>
        </w:rPr>
        <w:t>补偿原则</w:t>
      </w:r>
    </w:p>
    <w:p>
      <w:pPr>
        <w:ind w:left="420" w:leftChars="200"/>
        <w:rPr>
          <w:rFonts w:hint="eastAsia" w:ascii="微软雅黑" w:hAnsi="微软雅黑" w:eastAsia="微软雅黑"/>
          <w:sz w:val="24"/>
        </w:rPr>
      </w:pPr>
    </w:p>
    <w:p>
      <w:pPr>
        <w:ind w:left="420" w:leftChars="200"/>
        <w:rPr>
          <w:rFonts w:hint="eastAsia" w:ascii="微软雅黑" w:hAnsi="微软雅黑" w:eastAsia="微软雅黑"/>
          <w:sz w:val="24"/>
        </w:rPr>
      </w:pPr>
      <w:r>
        <w:rPr>
          <w:rFonts w:hint="eastAsia" w:ascii="微软雅黑" w:hAnsi="微软雅黑" w:eastAsia="微软雅黑"/>
          <w:sz w:val="24"/>
        </w:rPr>
        <w:t>第三讲 提升领导力的心智密钥</w:t>
      </w:r>
    </w:p>
    <w:p>
      <w:pPr>
        <w:ind w:left="420" w:leftChars="200"/>
        <w:rPr>
          <w:rFonts w:hint="eastAsia" w:ascii="微软雅黑" w:hAnsi="微软雅黑" w:eastAsia="微软雅黑"/>
          <w:sz w:val="24"/>
        </w:rPr>
      </w:pPr>
    </w:p>
    <w:p>
      <w:pPr>
        <w:ind w:left="420" w:leftChars="200"/>
        <w:rPr>
          <w:rFonts w:hint="eastAsia" w:ascii="微软雅黑" w:hAnsi="微软雅黑" w:eastAsia="微软雅黑"/>
          <w:sz w:val="24"/>
        </w:rPr>
      </w:pPr>
      <w:r>
        <w:rPr>
          <w:rFonts w:hint="eastAsia" w:ascii="微软雅黑" w:hAnsi="微软雅黑" w:eastAsia="微软雅黑"/>
          <w:sz w:val="24"/>
        </w:rPr>
        <w:t>一  中国古代的管理思想</w:t>
      </w:r>
    </w:p>
    <w:p>
      <w:pPr>
        <w:numPr>
          <w:ilvl w:val="0"/>
          <w:numId w:val="4"/>
        </w:numPr>
        <w:tabs>
          <w:tab w:val="left" w:pos="780"/>
          <w:tab w:val="clear" w:pos="360"/>
        </w:tabs>
        <w:ind w:left="420" w:leftChars="200"/>
        <w:rPr>
          <w:rFonts w:hint="eastAsia" w:ascii="微软雅黑" w:hAnsi="微软雅黑" w:eastAsia="微软雅黑"/>
          <w:sz w:val="24"/>
        </w:rPr>
      </w:pPr>
      <w:r>
        <w:rPr>
          <w:rFonts w:hint="eastAsia" w:ascii="微软雅黑" w:hAnsi="微软雅黑" w:eastAsia="微软雅黑"/>
          <w:sz w:val="24"/>
        </w:rPr>
        <w:t>儒家温和现实主义</w:t>
      </w:r>
    </w:p>
    <w:p>
      <w:pPr>
        <w:numPr>
          <w:ilvl w:val="0"/>
          <w:numId w:val="4"/>
        </w:numPr>
        <w:tabs>
          <w:tab w:val="left" w:pos="780"/>
          <w:tab w:val="clear" w:pos="360"/>
        </w:tabs>
        <w:ind w:left="420" w:leftChars="200"/>
        <w:rPr>
          <w:rFonts w:hint="eastAsia" w:ascii="微软雅黑" w:hAnsi="微软雅黑" w:eastAsia="微软雅黑"/>
          <w:sz w:val="24"/>
        </w:rPr>
      </w:pPr>
      <w:r>
        <w:rPr>
          <w:rFonts w:hint="eastAsia" w:ascii="微软雅黑" w:hAnsi="微软雅黑" w:eastAsia="微软雅黑"/>
          <w:sz w:val="24"/>
        </w:rPr>
        <w:t>墨家极端的理想主义</w:t>
      </w:r>
    </w:p>
    <w:p>
      <w:pPr>
        <w:numPr>
          <w:ilvl w:val="0"/>
          <w:numId w:val="4"/>
        </w:numPr>
        <w:tabs>
          <w:tab w:val="left" w:pos="780"/>
          <w:tab w:val="clear" w:pos="360"/>
        </w:tabs>
        <w:ind w:left="420" w:leftChars="200"/>
        <w:rPr>
          <w:rFonts w:hint="eastAsia" w:ascii="微软雅黑" w:hAnsi="微软雅黑" w:eastAsia="微软雅黑"/>
          <w:sz w:val="24"/>
        </w:rPr>
      </w:pPr>
      <w:r>
        <w:rPr>
          <w:rFonts w:hint="eastAsia" w:ascii="微软雅黑" w:hAnsi="微软雅黑" w:eastAsia="微软雅黑"/>
          <w:sz w:val="24"/>
        </w:rPr>
        <w:t>道家温和的理想主义</w:t>
      </w:r>
    </w:p>
    <w:p>
      <w:pPr>
        <w:numPr>
          <w:ilvl w:val="0"/>
          <w:numId w:val="4"/>
        </w:numPr>
        <w:tabs>
          <w:tab w:val="left" w:pos="780"/>
          <w:tab w:val="clear" w:pos="360"/>
        </w:tabs>
        <w:ind w:left="420" w:leftChars="200"/>
        <w:rPr>
          <w:rFonts w:hint="eastAsia" w:ascii="微软雅黑" w:hAnsi="微软雅黑" w:eastAsia="微软雅黑"/>
          <w:sz w:val="24"/>
        </w:rPr>
      </w:pPr>
      <w:r>
        <w:rPr>
          <w:rFonts w:hint="eastAsia" w:ascii="微软雅黑" w:hAnsi="微软雅黑" w:eastAsia="微软雅黑"/>
          <w:sz w:val="24"/>
        </w:rPr>
        <w:t>法家极端的现实主义</w:t>
      </w:r>
    </w:p>
    <w:p>
      <w:pPr>
        <w:ind w:left="420" w:leftChars="200"/>
        <w:rPr>
          <w:rFonts w:hint="eastAsia" w:ascii="微软雅黑" w:hAnsi="微软雅黑" w:eastAsia="微软雅黑"/>
          <w:sz w:val="24"/>
        </w:rPr>
      </w:pPr>
    </w:p>
    <w:p>
      <w:pPr>
        <w:ind w:left="420" w:leftChars="200"/>
        <w:rPr>
          <w:rFonts w:hint="eastAsia" w:ascii="微软雅黑" w:hAnsi="微软雅黑" w:eastAsia="微软雅黑"/>
          <w:sz w:val="24"/>
        </w:rPr>
      </w:pPr>
      <w:r>
        <w:rPr>
          <w:rFonts w:hint="eastAsia" w:ascii="微软雅黑" w:hAnsi="微软雅黑" w:eastAsia="微软雅黑"/>
          <w:sz w:val="24"/>
        </w:rPr>
        <w:t>二 古代领导力的主要内容</w:t>
      </w:r>
    </w:p>
    <w:p>
      <w:pPr>
        <w:ind w:left="420" w:leftChars="200"/>
        <w:rPr>
          <w:rFonts w:hint="eastAsia" w:ascii="微软雅黑" w:hAnsi="微软雅黑" w:eastAsia="微软雅黑"/>
          <w:sz w:val="24"/>
        </w:rPr>
      </w:pPr>
    </w:p>
    <w:p>
      <w:pPr>
        <w:numPr>
          <w:ilvl w:val="0"/>
          <w:numId w:val="5"/>
        </w:numPr>
        <w:tabs>
          <w:tab w:val="left" w:pos="780"/>
          <w:tab w:val="clear" w:pos="360"/>
        </w:tabs>
        <w:ind w:left="420" w:leftChars="200"/>
        <w:rPr>
          <w:rFonts w:hint="eastAsia" w:ascii="微软雅黑" w:hAnsi="微软雅黑" w:eastAsia="微软雅黑"/>
          <w:sz w:val="24"/>
        </w:rPr>
      </w:pPr>
      <w:r>
        <w:rPr>
          <w:rFonts w:hint="eastAsia" w:ascii="微软雅黑" w:hAnsi="微软雅黑" w:eastAsia="微软雅黑"/>
          <w:sz w:val="24"/>
        </w:rPr>
        <w:t>外阳内阴，外儒内法</w:t>
      </w:r>
    </w:p>
    <w:p>
      <w:pPr>
        <w:numPr>
          <w:ilvl w:val="0"/>
          <w:numId w:val="5"/>
        </w:numPr>
        <w:tabs>
          <w:tab w:val="left" w:pos="780"/>
          <w:tab w:val="clear" w:pos="360"/>
        </w:tabs>
        <w:ind w:left="420" w:leftChars="200"/>
        <w:rPr>
          <w:rFonts w:hint="eastAsia" w:ascii="微软雅黑" w:hAnsi="微软雅黑" w:eastAsia="微软雅黑"/>
          <w:sz w:val="24"/>
        </w:rPr>
      </w:pPr>
      <w:r>
        <w:rPr>
          <w:rFonts w:hint="eastAsia" w:ascii="微软雅黑" w:hAnsi="微软雅黑" w:eastAsia="微软雅黑"/>
          <w:sz w:val="24"/>
        </w:rPr>
        <w:t>外示儒术，内修黄老</w:t>
      </w:r>
    </w:p>
    <w:p>
      <w:pPr>
        <w:ind w:left="420" w:leftChars="200"/>
        <w:rPr>
          <w:rFonts w:hint="eastAsia" w:ascii="微软雅黑" w:hAnsi="微软雅黑" w:eastAsia="微软雅黑"/>
          <w:sz w:val="24"/>
        </w:rPr>
      </w:pPr>
    </w:p>
    <w:p>
      <w:pPr>
        <w:ind w:left="420" w:leftChars="200"/>
        <w:rPr>
          <w:rFonts w:hint="eastAsia" w:ascii="微软雅黑" w:hAnsi="微软雅黑" w:eastAsia="微软雅黑"/>
          <w:sz w:val="24"/>
        </w:rPr>
      </w:pPr>
      <w:r>
        <w:rPr>
          <w:rFonts w:hint="eastAsia" w:ascii="微软雅黑" w:hAnsi="微软雅黑" w:eastAsia="微软雅黑"/>
          <w:sz w:val="24"/>
        </w:rPr>
        <w:t>第四讲  儒家文化领导力的启示</w:t>
      </w:r>
    </w:p>
    <w:p>
      <w:pPr>
        <w:ind w:left="420" w:leftChars="200"/>
        <w:rPr>
          <w:rFonts w:hint="eastAsia" w:ascii="微软雅黑" w:hAnsi="微软雅黑" w:eastAsia="微软雅黑"/>
          <w:sz w:val="24"/>
        </w:rPr>
      </w:pPr>
    </w:p>
    <w:p>
      <w:pPr>
        <w:ind w:left="420" w:leftChars="200"/>
        <w:rPr>
          <w:rFonts w:ascii="微软雅黑" w:hAnsi="微软雅黑" w:eastAsia="微软雅黑"/>
          <w:sz w:val="24"/>
        </w:rPr>
      </w:pPr>
      <w:r>
        <w:rPr>
          <w:rFonts w:ascii="微软雅黑" w:hAnsi="微软雅黑" w:eastAsia="微软雅黑"/>
          <w:sz w:val="24"/>
        </w:rPr>
        <w:t>1</w:t>
      </w:r>
      <w:r>
        <w:rPr>
          <w:rFonts w:hint="eastAsia" w:ascii="微软雅黑" w:hAnsi="微软雅黑" w:eastAsia="微软雅黑"/>
          <w:sz w:val="24"/>
        </w:rPr>
        <w:t>、敏锐的问题意识和整体思考的智慧</w:t>
      </w:r>
    </w:p>
    <w:p>
      <w:pPr>
        <w:ind w:left="420" w:leftChars="200"/>
        <w:rPr>
          <w:rFonts w:hint="eastAsia" w:ascii="微软雅黑" w:hAnsi="微软雅黑" w:eastAsia="微软雅黑"/>
          <w:sz w:val="24"/>
        </w:rPr>
      </w:pPr>
      <w:r>
        <w:rPr>
          <w:rFonts w:ascii="微软雅黑" w:hAnsi="微软雅黑" w:eastAsia="微软雅黑"/>
          <w:sz w:val="24"/>
        </w:rPr>
        <w:t>2</w:t>
      </w:r>
      <w:r>
        <w:rPr>
          <w:rFonts w:hint="eastAsia" w:ascii="微软雅黑" w:hAnsi="微软雅黑" w:eastAsia="微软雅黑"/>
          <w:sz w:val="24"/>
        </w:rPr>
        <w:t>、维护权威与保持稳定</w:t>
      </w:r>
    </w:p>
    <w:p>
      <w:pPr>
        <w:ind w:left="420" w:leftChars="200"/>
        <w:rPr>
          <w:rFonts w:hint="eastAsia" w:ascii="微软雅黑" w:hAnsi="微软雅黑" w:eastAsia="微软雅黑"/>
          <w:sz w:val="24"/>
        </w:rPr>
      </w:pPr>
      <w:r>
        <w:rPr>
          <w:rFonts w:ascii="微软雅黑" w:hAnsi="微软雅黑" w:eastAsia="微软雅黑"/>
          <w:sz w:val="24"/>
        </w:rPr>
        <w:t>3</w:t>
      </w:r>
      <w:r>
        <w:rPr>
          <w:rFonts w:hint="eastAsia" w:ascii="微软雅黑" w:hAnsi="微软雅黑" w:eastAsia="微软雅黑"/>
          <w:sz w:val="24"/>
        </w:rPr>
        <w:t>、以补偿作为有力手段化解矛盾并调动积极性</w:t>
      </w:r>
    </w:p>
    <w:p>
      <w:pPr>
        <w:ind w:left="420" w:leftChars="200"/>
        <w:rPr>
          <w:rFonts w:hint="eastAsia" w:ascii="微软雅黑" w:hAnsi="微软雅黑" w:eastAsia="微软雅黑"/>
          <w:sz w:val="24"/>
        </w:rPr>
      </w:pPr>
    </w:p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rPr>
        <w:rFonts w:hint="eastAsia"/>
      </w:rPr>
    </w:pPr>
    <w:r>
      <w:rPr>
        <w:rFonts w:hint="eastAsia"/>
        <w:i/>
        <w:sz w:val="21"/>
        <w:szCs w:val="21"/>
      </w:rPr>
      <w:t xml:space="preserve">                                           </w:t>
    </w:r>
    <w:r>
      <w:rPr>
        <w:rFonts w:hint="eastAsia"/>
        <w:i/>
        <w:sz w:val="24"/>
        <w:szCs w:val="24"/>
      </w:rPr>
      <w:t>国学文化与企业管理系列课程</w:t>
    </w:r>
    <w:r>
      <w:rPr>
        <w:rFonts w:hint="eastAsia"/>
      </w:rPr>
      <w:drawing>
        <wp:inline distT="0" distB="0" distL="114300" distR="114300">
          <wp:extent cx="5279390" cy="337185"/>
          <wp:effectExtent l="0" t="0" r="8890" b="13335"/>
          <wp:docPr id="1" name="图片 1" descr="20121223093957_3514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1" descr="20121223093957_35146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279390" cy="33718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>
    <w:pPr>
      <w:pStyle w:val="3"/>
      <w:jc w:val="both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42879CA"/>
    <w:multiLevelType w:val="multilevel"/>
    <w:tmpl w:val="142879CA"/>
    <w:lvl w:ilvl="0" w:tentative="0">
      <w:start w:val="1"/>
      <w:numFmt w:val="decimal"/>
      <w:lvlText w:val="%1、"/>
      <w:lvlJc w:val="left"/>
      <w:pPr>
        <w:tabs>
          <w:tab w:val="left" w:pos="360"/>
        </w:tabs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">
    <w:nsid w:val="27547E7F"/>
    <w:multiLevelType w:val="multilevel"/>
    <w:tmpl w:val="27547E7F"/>
    <w:lvl w:ilvl="0" w:tentative="0">
      <w:start w:val="1"/>
      <w:numFmt w:val="decimal"/>
      <w:lvlText w:val="%1、"/>
      <w:lvlJc w:val="left"/>
      <w:pPr>
        <w:tabs>
          <w:tab w:val="left" w:pos="360"/>
        </w:tabs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2">
    <w:nsid w:val="397336EA"/>
    <w:multiLevelType w:val="multilevel"/>
    <w:tmpl w:val="397336EA"/>
    <w:lvl w:ilvl="0" w:tentative="0">
      <w:start w:val="4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3E923B33"/>
    <w:multiLevelType w:val="multilevel"/>
    <w:tmpl w:val="3E923B33"/>
    <w:lvl w:ilvl="0" w:tentative="0">
      <w:start w:val="1"/>
      <w:numFmt w:val="decimal"/>
      <w:lvlText w:val="%1、"/>
      <w:lvlJc w:val="left"/>
      <w:pPr>
        <w:tabs>
          <w:tab w:val="left" w:pos="360"/>
        </w:tabs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4">
    <w:nsid w:val="3FC476F5"/>
    <w:multiLevelType w:val="multilevel"/>
    <w:tmpl w:val="3FC476F5"/>
    <w:lvl w:ilvl="0" w:tentative="0">
      <w:start w:val="1"/>
      <w:numFmt w:val="decimal"/>
      <w:lvlText w:val="%1、"/>
      <w:lvlJc w:val="left"/>
      <w:pPr>
        <w:tabs>
          <w:tab w:val="left" w:pos="360"/>
        </w:tabs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4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9"/>
  <w:doNotDisplayPageBoundaries w:val="1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84158"/>
    <w:rsid w:val="00203C7C"/>
    <w:rsid w:val="00321774"/>
    <w:rsid w:val="003F75A3"/>
    <w:rsid w:val="004A081E"/>
    <w:rsid w:val="00504AFE"/>
    <w:rsid w:val="00600066"/>
    <w:rsid w:val="0082544E"/>
    <w:rsid w:val="009D6A75"/>
    <w:rsid w:val="00A84158"/>
    <w:rsid w:val="00B13592"/>
    <w:rsid w:val="00B6540D"/>
    <w:rsid w:val="00D2233A"/>
    <w:rsid w:val="00E97F55"/>
    <w:rsid w:val="00F0086B"/>
    <w:rsid w:val="1AD67CC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Style w:val="4"/>
      <w:tblCellMar>
        <w:top w:w="0" w:type="dxa"/>
        <w:left w:w="108" w:type="dxa"/>
        <w:bottom w:w="0" w:type="dxa"/>
        <w:right w:w="108" w:type="dxa"/>
      </w:tblCellMar>
    </w:tblPr>
    <w:trPr>
      <w:wBefore w:w="0" w:type="dxa"/>
    </w:tr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115</Words>
  <Characters>660</Characters>
  <Lines>5</Lines>
  <Paragraphs>1</Paragraphs>
  <TotalTime>0</TotalTime>
  <ScaleCrop>false</ScaleCrop>
  <LinksUpToDate>false</LinksUpToDate>
  <CharactersWithSpaces>774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2014-06-03T06:32:00Z</dcterms:created>
  <dc:creator>微软用户</dc:creator>
  <cp:lastModifiedBy>蓉儿</cp:lastModifiedBy>
  <dcterms:modified xsi:type="dcterms:W3CDTF">2023-10-11T06:07:52Z</dcterms:modified>
  <dc:title>儒家经典精神之领导力提升</dc:title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28C563821F544E2691959BF1AB705152_13</vt:lpwstr>
  </property>
</Properties>
</file>