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</w:pPr>
    </w:p>
    <w:p>
      <w:pPr>
        <w:jc w:val="left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-1004570</wp:posOffset>
                </wp:positionH>
                <wp:positionV relativeFrom="paragraph">
                  <wp:posOffset>190500</wp:posOffset>
                </wp:positionV>
                <wp:extent cx="6907530" cy="883285"/>
                <wp:effectExtent l="0" t="0" r="0" b="0"/>
                <wp:wrapNone/>
                <wp:docPr id="79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6907530" cy="883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2880" w:firstLineChars="800"/>
                              <w:rPr>
                                <w:rFonts w:ascii="微软雅黑" w:hAnsi="微软雅黑" w:eastAsia="微软雅黑"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Cs/>
                                <w:sz w:val="36"/>
                                <w:szCs w:val="36"/>
                              </w:rPr>
                              <w:t>B003解决方案式销售技巧（1-2天）</w:t>
                            </w:r>
                          </w:p>
                          <w:p>
                            <w:pPr>
                              <w:rPr>
                                <w:rFonts w:ascii="宋体" w:hAnsi="宋体" w:eastAsia="宋体" w:cs="宋体"/>
                                <w:color w:val="000000"/>
                                <w:kern w:val="0"/>
                                <w:sz w:val="22"/>
                              </w:rPr>
                            </w:pPr>
                          </w:p>
                          <w:p>
                            <w:pPr>
                              <w:rPr>
                                <w:rFonts w:ascii="宋体" w:hAnsi="宋体" w:eastAsia="宋体" w:cs="宋体"/>
                                <w:color w:val="000000"/>
                                <w:kern w:val="0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rPr>
                                <w:rFonts w:ascii="黑体" w:hAnsi="宋体" w:eastAsia="黑体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  <w:p>
                            <w:pPr>
                              <w:rPr>
                                <w:rFonts w:ascii="黑体" w:hAnsi="宋体" w:eastAsia="黑体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2" o:spid="_x0000_s1026" o:spt="202" type="#_x0000_t202" style="position:absolute;left:0pt;margin-left:-79.1pt;margin-top:15pt;height:69.55pt;width:543.9pt;z-index:251659264;mso-width-relative:page;mso-height-relative:page;" filled="f" stroked="f" coordsize="21600,21600" o:gfxdata="UEsDBAoAAAAAAIdO4kAAAAAAAAAAAAAAAAAEAAAAZHJzL1BLAwQUAAAACACHTuJARX1ctdgAAAAL&#10;AQAADwAAAGRycy9kb3ducmV2LnhtbE2Py07DMBBF90j8gzVI3bV2Uho1IU4XILaglofEzo2nSUQ8&#10;jmK3CX/fYQXL0Rzde265m10vLjiGzpOGZKVAINXedtRoeH97Xm5BhGjImt4TavjBALvq9qY0hfUT&#10;7fFyiI3gEAqF0dDGOBRShrpFZ8LKD0j8O/nRmcjn2Eg7monDXS9TpTLpTEfc0JoBH1usvw9np+Hj&#10;5fT1ea9emye3GSY/K0kul1ov7hL1ACLiHP9g+NVndajY6ejPZIPoNSyTzTZlVsNa8Sgm8jTPQBwZ&#10;zfIEZFXK/xuqK1BLAwQUAAAACACHTuJAJuxqPe4BAADmAwAADgAAAGRycy9lMm9Eb2MueG1srVNN&#10;j9MwEL0j8R8s32nSbj+jpiugWoQEC9IuP8B1nMZS7DFjt0n59YydtpTlsgcu1nhm/Gbem/H6vjct&#10;Oyr0GmzJx6OcM2UlVNruS/7j+eHdkjMfhK1EC1aV/KQ8v9+8fbPuXKEm0EBbKWQEYn3RuZI3Ibgi&#10;y7xslBF+BE5ZCtaARgS64j6rUHSEbtpskufzrAOsHIJU3pN3OwT5GRFfAwh1raXagjwYZcOAiqoV&#10;gSj5RjvPN6nbulYyfKtrrwJrS05MQzqpCNm7eGabtSj2KFyj5bkF8ZoWXnAyQlsqeoXaiiDYAfU/&#10;UEZLBA91GEkw2UAkKUIsxvkLbZ4a4VTiQlJ7dxXd/z9Y+Xj8jkxXJV+sOLPC0MSfVR/YB+jZfBL1&#10;6ZwvKO3JUWLoyU9bc/H76Nx1X6Gid+IQIInQ12iiGESPUTZpfbpqHbElOeerfDG7o5Ck2HJ5N1nO&#10;Imgmistrhz58UmBYNEqONMuELo5ffBhSLymxmIUH3bZpnq39y0GY0ZNFIrHhgVLod/2Z3Q6qE/FA&#10;GNaDPgcZDeAvzjpajZL7nweBirP2syXtV+PpNO5Sukxniwld8Dayu40IKwmq5IGzwfwYhv07ONT7&#10;hiqNEy0L70m/WidqsdWhq3PfNP4kznlV437d3lPWn++5+Q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FfVy12AAAAAsBAAAPAAAAAAAAAAEAIAAAACIAAABkcnMvZG93bnJldi54bWxQSwECFAAUAAAA&#10;CACHTuJAJuxqPe4BAADmAwAADgAAAAAAAAABACAAAAAnAQAAZHJzL2Uyb0RvYy54bWxQSwUGAAAA&#10;AAYABgBZAQAAh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firstLine="2880" w:firstLineChars="800"/>
                        <w:rPr>
                          <w:rFonts w:ascii="微软雅黑" w:hAnsi="微软雅黑" w:eastAsia="微软雅黑"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Cs/>
                          <w:sz w:val="36"/>
                          <w:szCs w:val="36"/>
                        </w:rPr>
                        <w:t>B003解决方案式销售技巧（1-2天）</w:t>
                      </w:r>
                    </w:p>
                    <w:p>
                      <w:pPr>
                        <w:rPr>
                          <w:rFonts w:ascii="宋体" w:hAnsi="宋体" w:eastAsia="宋体" w:cs="宋体"/>
                          <w:color w:val="000000"/>
                          <w:kern w:val="0"/>
                          <w:sz w:val="22"/>
                        </w:rPr>
                      </w:pPr>
                    </w:p>
                    <w:p>
                      <w:pPr>
                        <w:rPr>
                          <w:rFonts w:ascii="宋体" w:hAnsi="宋体" w:eastAsia="宋体" w:cs="宋体"/>
                          <w:color w:val="000000"/>
                          <w:kern w:val="0"/>
                          <w:sz w:val="36"/>
                          <w:szCs w:val="36"/>
                        </w:rPr>
                      </w:pPr>
                    </w:p>
                    <w:p>
                      <w:pPr>
                        <w:rPr>
                          <w:rFonts w:ascii="黑体" w:hAnsi="宋体" w:eastAsia="黑体"/>
                          <w:b/>
                          <w:sz w:val="30"/>
                          <w:szCs w:val="30"/>
                        </w:rPr>
                      </w:pPr>
                    </w:p>
                    <w:p>
                      <w:pPr>
                        <w:rPr>
                          <w:rFonts w:ascii="黑体" w:hAnsi="宋体" w:eastAsia="黑体"/>
                          <w:b/>
                          <w:sz w:val="30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/>
    <w:p/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  <w:r>
        <w:drawing>
          <wp:inline distT="0" distB="0" distL="0" distR="0">
            <wp:extent cx="5274310" cy="3557905"/>
            <wp:effectExtent l="19050" t="0" r="2540" b="0"/>
            <wp:docPr id="116" name="图片 1" descr="C:\Users\mac\Desktop\2019年课程资料准备包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" descr="C:\Users\mac\Desktop\2019年课程资料准备包\图片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8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378460</wp:posOffset>
                </wp:positionH>
                <wp:positionV relativeFrom="paragraph">
                  <wp:posOffset>137795</wp:posOffset>
                </wp:positionV>
                <wp:extent cx="4800600" cy="532765"/>
                <wp:effectExtent l="0" t="0" r="0" b="0"/>
                <wp:wrapNone/>
                <wp:docPr id="78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4800600" cy="532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2380" w:firstLineChars="850"/>
                              <w:rPr>
                                <w:rFonts w:ascii="微软雅黑" w:hAnsi="微软雅黑" w:eastAsia="微软雅黑"/>
                                <w:b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000000"/>
                                <w:sz w:val="28"/>
                                <w:szCs w:val="28"/>
                              </w:rPr>
                              <w:t>主讲： 张长江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1" o:spid="_x0000_s1026" o:spt="202" type="#_x0000_t202" style="position:absolute;left:0pt;margin-left:29.8pt;margin-top:10.85pt;height:41.95pt;width:378pt;z-index:251660288;mso-width-relative:page;mso-height-relative:page;" filled="f" stroked="f" coordsize="21600,21600" o:gfxdata="UEsDBAoAAAAAAIdO4kAAAAAAAAAAAAAAAAAEAAAAZHJzL1BLAwQUAAAACACHTuJAPKcH3dUAAAAJ&#10;AQAADwAAAGRycy9kb3ducmV2LnhtbE2PQU/DMAyF70j8h8hI3FjSiY6t1N0BxBXEBkjcssZrKxqn&#10;arK1/HvMCW6239Pz98rt7Ht1pjF2gRGyhQFFXAfXcYPwtn+6WYOKybKzfWBC+KYI2+ryorSFCxO/&#10;0nmXGiUhHAuL0KY0FFrHuiVv4yIMxKIdw+htknVstBvtJOG+10tjVtrbjuVDawd6aKn+2p08wvvz&#10;8fPj1rw0jz4fpjAbzX6jEa+vMnMPKtGc/szwiy/oUAnTIZzYRdUj5JuVOBGW2R0o0ddZLoeDGI0M&#10;uir1/wbVD1BLAwQUAAAACACHTuJA1JUxeu4BAADmAwAADgAAAGRycy9lMm9Eb2MueG1srVNNb9sw&#10;DL0P2H8QdF/sZPnojDjFtqDDgK0b0O4HKLIcC7BEjVJiZ79+lOxkaXvpYReBIqlHvkdqfdublh0V&#10;eg225NNJzpmyEipt9yX/9Xj37oYzH4StRAtWlfykPL/dvH2z7lyhZtBAWylkBGJ90bmSNyG4Isu8&#10;bJQRfgJOWQrWgEYEuuI+q1B0hG7abJbny6wDrByCVN6TdzsE+YiIrwGEutZSbUEejLJhQEXVikCU&#10;fKOd55vUbV0rGX7UtVeBtSUnpiGdVITsXTyzzVoUexSu0XJsQbymhWecjNCWil6gtiIIdkD9Aspo&#10;ieChDhMJJhuIJEWIxTR/ps1DI5xKXEhq7y6i+/8HK++PP5HpquQrmrsVhib+qPrAPkHPltOoT+d8&#10;QWkPjhJDT37amrPfR+eu+w4VvROHAEmEvkYTxSB6jLJJ69NF64gtyTm/oV3IKSQptng/Wy0XETQT&#10;xfm1Qx++KDAsGiVHmmVCF8dvPgyp55RYzMKdbts0z9Y+cRBm9GSRSGx4oBT6XT+y20F1Ih4Iw3rQ&#10;5yCjAfzDWUerUXL/+yBQcdZ+taT9h+l8HncpXeaL1YwueB3ZXUeElQRV8sDZYH4Ow/4dHOp9Q5Wm&#10;iZaFj6RfrRO12OrQ1dg3jT+JM65q3K/re8r69z03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8&#10;pwfd1QAAAAkBAAAPAAAAAAAAAAEAIAAAACIAAABkcnMvZG93bnJldi54bWxQSwECFAAUAAAACACH&#10;TuJA1JUxeu4BAADmAwAADgAAAAAAAAABACAAAAAkAQAAZHJzL2Uyb0RvYy54bWxQSwUGAAAAAAYA&#10;BgBZAQAAh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firstLine="2380" w:firstLineChars="850"/>
                        <w:rPr>
                          <w:rFonts w:ascii="微软雅黑" w:hAnsi="微软雅黑" w:eastAsia="微软雅黑"/>
                          <w:b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000000"/>
                          <w:sz w:val="28"/>
                          <w:szCs w:val="28"/>
                        </w:rPr>
                        <w:t>主讲： 张长江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spacing w:line="360" w:lineRule="auto"/>
        <w:rPr>
          <w:rFonts w:ascii="微软雅黑" w:hAnsi="微软雅黑" w:eastAsia="微软雅黑"/>
          <w:b/>
          <w:sz w:val="28"/>
          <w:szCs w:val="28"/>
        </w:rPr>
      </w:pPr>
      <w:r>
        <w:rPr>
          <w:rFonts w:ascii="微软雅黑" w:hAnsi="微软雅黑" w:eastAsia="微软雅黑"/>
          <w:b/>
          <w:sz w:val="28"/>
          <w:szCs w:val="28"/>
        </w:rPr>
        <w:t>课程背景</w:t>
      </w:r>
    </w:p>
    <w:p>
      <w:pPr>
        <w:spacing w:line="360" w:lineRule="auto"/>
        <w:ind w:left="141" w:leftChars="67"/>
        <w:rPr>
          <w:rFonts w:ascii="宋体" w:hAnsi="宋体"/>
          <w:szCs w:val="21"/>
        </w:rPr>
      </w:pP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在今天，很多B2B行业销售的产品并不一定全部都是有形的。例如一家电力设备公司可能针对某一个行业的问题推出了一套系统，其中既包括硬件设备，也包括安装服务以及自动化软件；而一家专为银行维护ATM设备的公司则提供设备维修保养的一揽子解决方案，既包括日常的维修服务，也包括为客户提供的数据月报和软件、硬件升级服务。这些公司销售的产品被称之为“解决方案”。</w:t>
      </w:r>
    </w:p>
    <w:p>
      <w:pPr>
        <w:spacing w:line="360" w:lineRule="auto"/>
        <w:rPr>
          <w:rFonts w:ascii="宋体" w:hAnsi="宋体"/>
          <w:szCs w:val="21"/>
        </w:rPr>
      </w:pP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解决方案式销售是指供应商针对客户已经出现或预期出现的需求、问题（不足、缺陷、风险）以及期望和目标，帮助客户正确地识别需求、解决问题、满足期望、达到目标的完整销售流程。解决方案式销售主要帮助客户解决三个方面的问题：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1、帮助客户了解客户面临的问题、机会和需求；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2、帮助客户评估各种可供选择的方案；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3、帮助客户以需求为出发点设计</w:t>
      </w:r>
      <w:r>
        <w:rPr>
          <w:rFonts w:hint="eastAsia" w:ascii="宋体" w:hAnsi="宋体"/>
          <w:b/>
          <w:szCs w:val="21"/>
        </w:rPr>
        <w:t>量身定制化方案</w:t>
      </w:r>
      <w:r>
        <w:rPr>
          <w:rFonts w:hint="eastAsia" w:ascii="宋体" w:hAnsi="宋体"/>
          <w:szCs w:val="21"/>
        </w:rPr>
        <w:t>并共同实施。</w:t>
      </w:r>
    </w:p>
    <w:p>
      <w:pPr>
        <w:spacing w:line="360" w:lineRule="auto"/>
        <w:rPr>
          <w:rFonts w:ascii="宋体" w:hAnsi="宋体"/>
          <w:szCs w:val="21"/>
        </w:rPr>
      </w:pP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本课程以前沿的解决方案销售理论为核心，帮助学员系统性的掌握解决方案的销售技能，包括：</w:t>
      </w:r>
    </w:p>
    <w:p>
      <w:pPr>
        <w:pStyle w:val="4"/>
        <w:numPr>
          <w:ilvl w:val="0"/>
          <w:numId w:val="1"/>
        </w:numPr>
        <w:spacing w:line="360" w:lineRule="auto"/>
        <w:ind w:firstLineChars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如何筛选和评估潜在客户？</w:t>
      </w:r>
    </w:p>
    <w:p>
      <w:pPr>
        <w:pStyle w:val="4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如何在客户组织内部发展自己的信息渠道</w:t>
      </w:r>
      <w:r>
        <w:rPr>
          <w:rFonts w:hint="eastAsia" w:ascii="宋体" w:hAnsi="宋体"/>
          <w:szCs w:val="21"/>
        </w:rPr>
        <w:t>？</w:t>
      </w:r>
    </w:p>
    <w:p>
      <w:pPr>
        <w:pStyle w:val="4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如何深入了解客户的业务痛点和愿景</w:t>
      </w:r>
      <w:r>
        <w:rPr>
          <w:rFonts w:hint="eastAsia" w:ascii="宋体" w:hAnsi="宋体"/>
          <w:szCs w:val="21"/>
        </w:rPr>
        <w:t>？</w:t>
      </w:r>
    </w:p>
    <w:p>
      <w:pPr>
        <w:pStyle w:val="4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如何激发客户的业务痛点和愿景</w:t>
      </w:r>
      <w:r>
        <w:rPr>
          <w:rFonts w:hint="eastAsia" w:ascii="宋体" w:hAnsi="宋体"/>
          <w:szCs w:val="21"/>
        </w:rPr>
        <w:t>？</w:t>
      </w:r>
    </w:p>
    <w:p>
      <w:pPr>
        <w:pStyle w:val="4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如何为客户提供创造性的解决方案</w:t>
      </w:r>
      <w:r>
        <w:rPr>
          <w:rFonts w:hint="eastAsia" w:ascii="宋体" w:hAnsi="宋体"/>
          <w:szCs w:val="21"/>
        </w:rPr>
        <w:t>？</w:t>
      </w:r>
    </w:p>
    <w:p>
      <w:pPr>
        <w:pStyle w:val="4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如何量化呈现解决方案的价值</w:t>
      </w:r>
      <w:r>
        <w:rPr>
          <w:rFonts w:hint="eastAsia" w:ascii="宋体" w:hAnsi="宋体"/>
          <w:szCs w:val="21"/>
        </w:rPr>
        <w:t>？</w:t>
      </w:r>
    </w:p>
    <w:p>
      <w:pPr>
        <w:pStyle w:val="4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如何面向关键决策者销售解决方案？</w:t>
      </w:r>
    </w:p>
    <w:p>
      <w:pPr>
        <w:spacing w:line="360" w:lineRule="auto"/>
        <w:jc w:val="left"/>
        <w:rPr>
          <w:rFonts w:ascii="微软雅黑" w:hAnsi="微软雅黑" w:eastAsia="微软雅黑"/>
          <w:b/>
          <w:sz w:val="28"/>
          <w:szCs w:val="28"/>
        </w:rPr>
      </w:pPr>
      <w:bookmarkStart w:id="0" w:name="_GoBack"/>
      <w:bookmarkEnd w:id="0"/>
    </w:p>
    <w:p>
      <w:pPr>
        <w:spacing w:line="360" w:lineRule="auto"/>
        <w:jc w:val="left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课程特色</w:t>
      </w:r>
    </w:p>
    <w:p>
      <w:pPr>
        <w:spacing w:line="360" w:lineRule="auto"/>
        <w:jc w:val="left"/>
        <w:rPr>
          <w:szCs w:val="21"/>
        </w:rPr>
      </w:pPr>
    </w:p>
    <w:p>
      <w:pPr>
        <w:spacing w:line="360" w:lineRule="auto"/>
        <w:jc w:val="left"/>
        <w:rPr>
          <w:szCs w:val="21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105410</wp:posOffset>
                </wp:positionV>
                <wp:extent cx="5144770" cy="1962785"/>
                <wp:effectExtent l="0" t="0" r="0" b="0"/>
                <wp:wrapNone/>
                <wp:docPr id="77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5144770" cy="1962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left"/>
                              <w:rPr>
                                <w:rFonts w:ascii="宋体" w:hAnsi="宋体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Cs/>
                                <w:color w:val="3366FF"/>
                                <w:szCs w:val="21"/>
                              </w:rPr>
                              <w:sym w:font="Wingdings" w:char="0071"/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</w:rPr>
                              <w:t>针对性强。本课程为B2B行业量身定制，培训师具有十五年B2B行业的一线销售与营销管理经验，培训紧密贴合行业特质，针对性强。</w:t>
                            </w:r>
                          </w:p>
                          <w:p>
                            <w:pPr>
                              <w:spacing w:line="360" w:lineRule="auto"/>
                              <w:jc w:val="left"/>
                              <w:rPr>
                                <w:rFonts w:ascii="宋体" w:hAnsi="宋体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Cs/>
                                <w:color w:val="3366FF"/>
                                <w:szCs w:val="21"/>
                              </w:rPr>
                              <w:sym w:font="Wingdings" w:char="0071"/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</w:rPr>
                              <w:t>实战性强。课程以大量的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Cs w:val="21"/>
                              </w:rPr>
                              <w:t>实战案例展开讨论，结合实际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</w:rPr>
                              <w:t>工作中学员经常遇到的问题讲解破题的方法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Cs w:val="21"/>
                              </w:rPr>
                              <w:t>，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</w:rPr>
                              <w:t>很多实战的技巧和策略拿过来就可以用，实战性强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Cs w:val="21"/>
                              </w:rPr>
                              <w:t>。</w:t>
                            </w:r>
                          </w:p>
                          <w:p>
                            <w:pPr>
                              <w:spacing w:line="360" w:lineRule="auto"/>
                              <w:jc w:val="left"/>
                              <w:rPr>
                                <w:rFonts w:ascii="宋体" w:hAnsi="宋体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Cs/>
                                <w:color w:val="3366FF"/>
                                <w:szCs w:val="21"/>
                              </w:rPr>
                              <w:sym w:font="Wingdings" w:char="0071"/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Cs w:val="21"/>
                              </w:rPr>
                              <w:t>系统性强。课程体系严谨，结构清晰，理论与实战相得益彰，使学员能够系统化的掌握课程的理论框架，并能结合工作中的实际情况加以灵活运用。</w:t>
                            </w:r>
                          </w:p>
                          <w:p/>
                          <w:p>
                            <w:pPr>
                              <w:spacing w:line="360" w:lineRule="auto"/>
                              <w:jc w:val="left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0" o:spid="_x0000_s1026" o:spt="202" type="#_x0000_t202" style="position:absolute;left:0pt;margin-left:-0.7pt;margin-top:8.3pt;height:154.55pt;width:405.1pt;z-index:251661312;mso-width-relative:page;mso-height-relative:page;" filled="f" stroked="f" coordsize="21600,21600" o:gfxdata="UEsDBAoAAAAAAIdO4kAAAAAAAAAAAAAAAAAEAAAAZHJzL1BLAwQUAAAACACHTuJA1Bp4I9cAAAAJ&#10;AQAADwAAAGRycy9kb3ducmV2LnhtbE2PzU7DMBCE70h9B2uRuLV2ShtCiNNDEVcQ5Ufi5sbbJCJe&#10;R7HbhLdne2qPOzOa/abYTK4TJxxC60lDslAgkCpvW6o1fH68zDMQIRqypvOEGv4wwKac3RQmt36k&#10;dzztYi24hEJuNDQx9rmUoWrQmbDwPRJ7Bz84E/kcamkHM3K56+RSqVQ60xJ/aEyP2war393Rafh6&#10;Pfx8r9Rb/ezW/egnJck9Sq3vbhP1BCLiFC9hOOMzOpTMtPdHskF0GubJipOspykI9jOV8ZS9hvvl&#10;+gFkWcjrBeU/UEsDBBQAAAAIAIdO4kBplWgk7QEAAOcDAAAOAAAAZHJzL2Uyb0RvYy54bWytU8Fu&#10;2zAMvQ/YPwi6L06CJG6NOMW2oMOAbR3Q9gMUWY4FWKJGKbGzrx8lO1nWXXroRZBI6vG9J2p915uW&#10;HRV6Dbbks8mUM2UlVNruS/78dP/hhjMfhK1EC1aV/KQ8v9u8f7fuXKHm0EBbKWQEYn3RuZI3Ibgi&#10;y7xslBF+Ak5ZStaARgQ64j6rUHSEbtpsPp2usg6wcghSeU/R7ZDkIyK+BhDqWku1BXkwyoYBFVUr&#10;AknyjXaebxLbulYyPNS1V4G1JSelIa3UhPa7uGabtSj2KFyj5UhBvIbCC01GaEtNL1BbEQQ7oP4P&#10;ymiJ4KEOEwkmG4QkR0jFbPrCm8dGOJW0kNXeXUz3bwcrfxx/ItNVyfOcMysMvfiT6gP7BD1bJX86&#10;5wsqe3RUGHqK09RE32Lcx+Cu+w4V3ROHAMmEvkYTzSB5jKrJ69PF64gtKbicLRZ5TilJudntap7f&#10;LCNqJorzdYc+fFFgWNyUHOkxE7w4fvNhKD2XxG4W7nXbpgdt7T8BwoyR7Mx44B76XT/K2EF1IiEI&#10;w3zQ76BNA/ibs45mo+T+10Gg4qz9asn8W+IehykdFst8Tge8zuyuM8JKgip54GzYfg7DAB4c6n1D&#10;nWZJloWPZGCtk7RIdWA18qb3T+aMsxoH7Pqcqv7+z80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1Bp4I9cAAAAJAQAADwAAAAAAAAABACAAAAAiAAAAZHJzL2Rvd25yZXYueG1sUEsBAhQAFAAAAAgA&#10;h07iQGmVaCTtAQAA5wMAAA4AAAAAAAAAAQAgAAAAJgEAAGRycy9lMm9Eb2MueG1sUEsFBgAAAAAG&#10;AAYAWQEAAIU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left"/>
                        <w:rPr>
                          <w:rFonts w:ascii="宋体" w:hAnsi="宋体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bCs/>
                          <w:color w:val="3366FF"/>
                          <w:szCs w:val="21"/>
                        </w:rPr>
                        <w:sym w:font="Wingdings" w:char="0071"/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</w:rPr>
                        <w:t>针对性强。本课程为B2B行业量身定制，培训师具有十五年B2B行业的一线销售与营销管理经验，培训紧密贴合行业特质，针对性强。</w:t>
                      </w:r>
                    </w:p>
                    <w:p>
                      <w:pPr>
                        <w:spacing w:line="360" w:lineRule="auto"/>
                        <w:jc w:val="left"/>
                        <w:rPr>
                          <w:rFonts w:ascii="宋体" w:hAnsi="宋体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bCs/>
                          <w:color w:val="3366FF"/>
                          <w:szCs w:val="21"/>
                        </w:rPr>
                        <w:sym w:font="Wingdings" w:char="0071"/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</w:rPr>
                        <w:t>实战性强。课程以大量的</w:t>
                      </w:r>
                      <w:r>
                        <w:rPr>
                          <w:rFonts w:ascii="宋体" w:hAnsi="宋体"/>
                          <w:color w:val="000000"/>
                          <w:szCs w:val="21"/>
                        </w:rPr>
                        <w:t>实战案例展开讨论，结合实际</w:t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</w:rPr>
                        <w:t>工作中学员经常遇到的问题讲解破题的方法</w:t>
                      </w:r>
                      <w:r>
                        <w:rPr>
                          <w:rFonts w:ascii="宋体" w:hAnsi="宋体"/>
                          <w:color w:val="000000"/>
                          <w:szCs w:val="21"/>
                        </w:rPr>
                        <w:t>，</w:t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</w:rPr>
                        <w:t>很多实战的技巧和策略拿过来就可以用，实战性强</w:t>
                      </w:r>
                      <w:r>
                        <w:rPr>
                          <w:rFonts w:ascii="宋体" w:hAnsi="宋体"/>
                          <w:color w:val="000000"/>
                          <w:szCs w:val="21"/>
                        </w:rPr>
                        <w:t>。</w:t>
                      </w:r>
                    </w:p>
                    <w:p>
                      <w:pPr>
                        <w:spacing w:line="360" w:lineRule="auto"/>
                        <w:jc w:val="left"/>
                        <w:rPr>
                          <w:rFonts w:ascii="宋体" w:hAnsi="宋体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bCs/>
                          <w:color w:val="3366FF"/>
                          <w:szCs w:val="21"/>
                        </w:rPr>
                        <w:sym w:font="Wingdings" w:char="0071"/>
                      </w:r>
                      <w:r>
                        <w:rPr>
                          <w:rFonts w:hint="eastAsia" w:ascii="宋体" w:hAnsi="宋体"/>
                          <w:color w:val="000000"/>
                          <w:szCs w:val="21"/>
                        </w:rPr>
                        <w:t>系统性强。课程体系严谨，结构清晰，理论与实战相得益彰，使学员能够系统化的掌握课程的理论框架，并能结合工作中的实际情况加以灵活运用。</w:t>
                      </w:r>
                    </w:p>
                    <w:p/>
                    <w:p>
                      <w:pPr>
                        <w:spacing w:line="360" w:lineRule="auto"/>
                        <w:jc w:val="left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jc w:val="left"/>
        <w:rPr>
          <w:szCs w:val="21"/>
        </w:rPr>
      </w:pPr>
    </w:p>
    <w:p>
      <w:pPr>
        <w:spacing w:line="360" w:lineRule="auto"/>
        <w:jc w:val="left"/>
        <w:rPr>
          <w:szCs w:val="21"/>
        </w:rPr>
      </w:pPr>
    </w:p>
    <w:p>
      <w:pPr>
        <w:spacing w:line="360" w:lineRule="auto"/>
        <w:jc w:val="left"/>
        <w:rPr>
          <w:szCs w:val="21"/>
        </w:rPr>
      </w:pPr>
    </w:p>
    <w:p>
      <w:pPr>
        <w:spacing w:line="360" w:lineRule="auto"/>
        <w:jc w:val="left"/>
        <w:rPr>
          <w:szCs w:val="21"/>
        </w:rPr>
      </w:pPr>
    </w:p>
    <w:p>
      <w:pPr>
        <w:spacing w:line="360" w:lineRule="auto"/>
        <w:jc w:val="left"/>
        <w:rPr>
          <w:szCs w:val="21"/>
        </w:rPr>
      </w:pPr>
    </w:p>
    <w:p>
      <w:pPr>
        <w:spacing w:line="360" w:lineRule="auto"/>
        <w:jc w:val="left"/>
        <w:rPr>
          <w:szCs w:val="21"/>
        </w:rPr>
      </w:pPr>
    </w:p>
    <w:p>
      <w:pPr>
        <w:spacing w:line="360" w:lineRule="auto"/>
        <w:jc w:val="left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授课方式</w:t>
      </w:r>
    </w:p>
    <w:p>
      <w:pPr>
        <w:spacing w:line="360" w:lineRule="auto"/>
        <w:jc w:val="left"/>
        <w:rPr>
          <w:szCs w:val="21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231775</wp:posOffset>
                </wp:positionV>
                <wp:extent cx="5144770" cy="862330"/>
                <wp:effectExtent l="0" t="0" r="0" b="0"/>
                <wp:wrapNone/>
                <wp:docPr id="76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5144770" cy="862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left"/>
                              <w:rPr>
                                <w:rFonts w:ascii="宋体" w:hAnsi="宋体" w:cs="宋体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Cs/>
                                <w:color w:val="3366FF"/>
                                <w:szCs w:val="21"/>
                              </w:rPr>
                              <w:sym w:font="Wingdings" w:char="0071"/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Cs w:val="21"/>
                              </w:rPr>
                              <w:t>授课形式包括：通过启发式讲授 、互动式教学、小组讨论、案例分析、角色扮演、观看视频、性格测验等多种生动的培训方式，最终达到最佳的授课效果。</w:t>
                            </w:r>
                          </w:p>
                          <w:p>
                            <w:pPr>
                              <w:spacing w:line="360" w:lineRule="auto"/>
                              <w:jc w:val="left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9" o:spid="_x0000_s1026" o:spt="202" type="#_x0000_t202" style="position:absolute;left:0pt;margin-left:1pt;margin-top:18.25pt;height:67.9pt;width:405.1pt;z-index:251662336;mso-width-relative:page;mso-height-relative:page;" filled="f" stroked="f" coordsize="21600,21600" o:gfxdata="UEsDBAoAAAAAAIdO4kAAAAAAAAAAAAAAAAAEAAAAZHJzL1BLAwQUAAAACACHTuJAa+Z4tNYAAAAI&#10;AQAADwAAAGRycy9kb3ducmV2LnhtbE2PzU7DMBCE70h9B2srcaN2XFpKGqcHEFcQ5Ufi5sbbJGq8&#10;jmK3CW/PcoLjaEYz3xS7yXfigkNsAxnIFgoEUhVcS7WB97enmw2ImCw52wVCA98YYVfOrgqbuzDS&#10;K172qRZcQjG3BpqU+lzKWDXobVyEHom9Yxi8TSyHWrrBjlzuO6mVWktvW+KFxvb40GB12p+9gY/n&#10;49fnrXqpH/2qH8OkJPl7acz1PFNbEAmn9BeGX3xGh5KZDuFMLorOgOYnycByvQLB9ibTGsSBc3d6&#10;CbIs5P8D5Q9QSwMEFAAAAAgAh07iQPqLxMTvAQAA5gMAAA4AAABkcnMvZTJvRG9jLnhtbK1TTY/T&#10;MBC9I/EfLN9p2m4/dqOmK6BahAQL0i4/wHGcxlLsMWO3Sfn1jJ20lOWyBy6WPTN+fu/NeHPfm5Yd&#10;FXoNtuCzyZQzZSVU2u4L/uP54d0tZz4IW4kWrCr4SXl+v337ZtO5XM2hgbZSyAjE+rxzBW9CcHmW&#10;edkoI/wEnLKUrAGNCHTEfVah6AjdtNl8Ol1lHWDlEKTynqK7IclHRHwNINS1lmoH8mCUDQMqqlYE&#10;kuQb7TzfJrZ1rWT4VtdeBdYWnJSGtNIjtC/jmm03It+jcI2WIwXxGgovNBmhLT16gdqJINgB9T9Q&#10;RksED3WYSDDZICQ5Qipm0xfePDXCqaSFrPbuYrr/f7Dy8fgdma4Kvl5xZoWhjj+rPrAP0LPlXfSn&#10;cz6nsidHhaGnOE3NOe5jsOy+QkX3xCFAMqGv0UQzSB6javL6dPE6YksKLmeLxXpNKUm529X85iY1&#10;IxP5+bZDHz4pMCxuCo7Uy4Qujl98IF5Uei6Jj1l40G2b+tnavwJUGCNZFBIJD5JCX/ajuhKqE+lA&#10;GMaDPgdtGsBfnHU0GgX3Pw8CFWftZ0ve3xH1OEvpsFiu53TA60x5nRFWElTBA2fD9mMY5u/gUO8b&#10;emmWZFl4T/7VOkmLVAdWI29qf1I8jmqcr+tzqvrzPbe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GvmeLTWAAAACAEAAA8AAAAAAAAAAQAgAAAAIgAAAGRycy9kb3ducmV2LnhtbFBLAQIUABQAAAAI&#10;AIdO4kD6i8TE7wEAAOYDAAAOAAAAAAAAAAEAIAAAACU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left"/>
                        <w:rPr>
                          <w:rFonts w:ascii="宋体" w:hAnsi="宋体" w:cs="宋体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宋体" w:hAnsi="宋体" w:cs="宋体"/>
                          <w:bCs/>
                          <w:color w:val="3366FF"/>
                          <w:szCs w:val="21"/>
                        </w:rPr>
                        <w:sym w:font="Wingdings" w:char="0071"/>
                      </w:r>
                      <w:r>
                        <w:rPr>
                          <w:rFonts w:hint="eastAsia" w:ascii="宋体" w:hAnsi="宋体" w:cs="宋体"/>
                          <w:color w:val="000000"/>
                          <w:szCs w:val="21"/>
                        </w:rPr>
                        <w:t>授课形式包括：通过启发式讲授 、互动式教学、小组讨论、案例分析、角色扮演、观看视频、性格测验等多种生动的培训方式，最终达到最佳的授课效果。</w:t>
                      </w:r>
                    </w:p>
                    <w:p>
                      <w:pPr>
                        <w:spacing w:line="360" w:lineRule="auto"/>
                        <w:jc w:val="left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jc w:val="left"/>
        <w:rPr>
          <w:szCs w:val="21"/>
        </w:rPr>
      </w:pPr>
    </w:p>
    <w:p>
      <w:pPr>
        <w:spacing w:line="360" w:lineRule="auto"/>
        <w:jc w:val="left"/>
        <w:rPr>
          <w:szCs w:val="21"/>
        </w:rPr>
      </w:pPr>
    </w:p>
    <w:p>
      <w:pPr>
        <w:spacing w:line="360" w:lineRule="auto"/>
        <w:jc w:val="left"/>
        <w:rPr>
          <w:szCs w:val="21"/>
        </w:rPr>
      </w:pPr>
    </w:p>
    <w:p>
      <w:pPr>
        <w:spacing w:line="360" w:lineRule="auto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课程大纲</w:t>
      </w:r>
    </w:p>
    <w:p>
      <w:pPr>
        <w:spacing w:line="360" w:lineRule="auto"/>
        <w:rPr>
          <w:rFonts w:asciiTheme="minorEastAsia" w:hAnsiTheme="minorEastAsia"/>
          <w:szCs w:val="21"/>
        </w:rPr>
      </w:pPr>
    </w:p>
    <w:p>
      <w:pPr>
        <w:spacing w:line="360" w:lineRule="auto"/>
        <w:jc w:val="lef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第一单元 基本概念导入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解决方案式销售的定义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解决方案式销售的两种典型模式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解决方案式销售模式对销售人员能力的要求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案例：华为的CC3铁三角团队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案例：华为铁三角团队成员的能力建设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典型的解决方案销售流程</w:t>
      </w:r>
    </w:p>
    <w:p>
      <w:pPr>
        <w:spacing w:line="360" w:lineRule="auto"/>
        <w:jc w:val="left"/>
        <w:rPr>
          <w:rFonts w:ascii="微软雅黑" w:hAnsi="微软雅黑" w:eastAsia="微软雅黑"/>
          <w:b/>
          <w:szCs w:val="21"/>
        </w:rPr>
      </w:pPr>
    </w:p>
    <w:p>
      <w:pPr>
        <w:spacing w:line="360" w:lineRule="auto"/>
        <w:jc w:val="lef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第二单元 潜在客户阶段</w:t>
      </w:r>
    </w:p>
    <w:p>
      <w:pPr>
        <w:spacing w:line="360" w:lineRule="auto"/>
        <w:jc w:val="left"/>
        <w:rPr>
          <w:rFonts w:asciiTheme="majorEastAsia" w:hAnsiTheme="majorEastAsia" w:eastAsiaTheme="majorEastAsia"/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 w:asciiTheme="majorEastAsia" w:hAnsiTheme="majorEastAsia" w:eastAsiaTheme="majorEastAsia"/>
          <w:szCs w:val="21"/>
        </w:rPr>
        <w:t>潜在客户阶段的目标和任务</w:t>
      </w:r>
    </w:p>
    <w:p>
      <w:pPr>
        <w:spacing w:line="360" w:lineRule="auto"/>
        <w:jc w:val="left"/>
        <w:rPr>
          <w:rFonts w:asciiTheme="majorEastAsia" w:hAnsiTheme="majorEastAsia" w:eastAsiaTheme="majorEastAsia"/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 w:asciiTheme="majorEastAsia" w:hAnsiTheme="majorEastAsia" w:eastAsiaTheme="majorEastAsia"/>
          <w:szCs w:val="21"/>
        </w:rPr>
        <w:t>潜在客户的定义：需求+定位匹配+支付能力</w:t>
      </w:r>
    </w:p>
    <w:p>
      <w:pPr>
        <w:spacing w:line="360" w:lineRule="auto"/>
        <w:jc w:val="left"/>
        <w:rPr>
          <w:rFonts w:asciiTheme="majorEastAsia" w:hAnsiTheme="majorEastAsia" w:eastAsiaTheme="majorEastAsia"/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 w:asciiTheme="majorEastAsia" w:hAnsiTheme="majorEastAsia" w:eastAsiaTheme="majorEastAsia"/>
          <w:szCs w:val="21"/>
        </w:rPr>
        <w:t>客户线索、潜在客户与订单三者之间的关系</w:t>
      </w:r>
    </w:p>
    <w:p>
      <w:pPr>
        <w:spacing w:line="360" w:lineRule="auto"/>
        <w:jc w:val="left"/>
        <w:rPr>
          <w:rFonts w:asciiTheme="majorEastAsia" w:hAnsiTheme="majorEastAsia" w:eastAsiaTheme="majorEastAsia"/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 w:asciiTheme="majorEastAsia" w:hAnsiTheme="majorEastAsia" w:eastAsiaTheme="majorEastAsia"/>
          <w:szCs w:val="21"/>
        </w:rPr>
        <w:t>获得客户线索的主要渠道</w:t>
      </w:r>
    </w:p>
    <w:p>
      <w:pPr>
        <w:spacing w:line="360" w:lineRule="auto"/>
        <w:jc w:val="left"/>
        <w:rPr>
          <w:rFonts w:asciiTheme="majorEastAsia" w:hAnsiTheme="majorEastAsia" w:eastAsiaTheme="majorEastAsia"/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 w:asciiTheme="majorEastAsia" w:hAnsiTheme="majorEastAsia" w:eastAsiaTheme="majorEastAsia"/>
          <w:szCs w:val="21"/>
        </w:rPr>
        <w:t>潜在客户定位三步曲</w:t>
      </w:r>
    </w:p>
    <w:p>
      <w:pPr>
        <w:spacing w:line="360" w:lineRule="auto"/>
        <w:jc w:val="left"/>
        <w:rPr>
          <w:rFonts w:asciiTheme="majorEastAsia" w:hAnsiTheme="majorEastAsia" w:eastAsiaTheme="majorEastAsia"/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 w:asciiTheme="majorEastAsia" w:hAnsiTheme="majorEastAsia" w:eastAsiaTheme="majorEastAsia"/>
          <w:szCs w:val="21"/>
        </w:rPr>
        <w:t>潜在客户基本信息与评估表工具</w:t>
      </w:r>
    </w:p>
    <w:p>
      <w:pPr>
        <w:spacing w:line="360" w:lineRule="auto"/>
        <w:jc w:val="left"/>
        <w:rPr>
          <w:rFonts w:ascii="微软雅黑" w:hAnsi="微软雅黑" w:eastAsia="微软雅黑"/>
          <w:b/>
          <w:szCs w:val="21"/>
        </w:rPr>
      </w:pPr>
    </w:p>
    <w:p>
      <w:pPr>
        <w:spacing w:line="360" w:lineRule="auto"/>
        <w:jc w:val="lef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第三单元 挖掘需求阶段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挖掘需求阶段的目标和任务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解决方案式销售的六字原则：先诊断，后开方</w:t>
      </w:r>
    </w:p>
    <w:p>
      <w:pPr>
        <w:spacing w:line="360" w:lineRule="auto"/>
        <w:jc w:val="left"/>
        <w:rPr>
          <w:b/>
          <w:szCs w:val="21"/>
          <w:shd w:val="pct10" w:color="auto" w:fill="FFFFFF"/>
        </w:rPr>
      </w:pPr>
      <w:r>
        <w:rPr>
          <w:b/>
          <w:szCs w:val="21"/>
          <w:shd w:val="pct10" w:color="auto" w:fill="FFFFFF"/>
        </w:rPr>
        <w:t>I</w:t>
      </w:r>
      <w:r>
        <w:rPr>
          <w:rFonts w:hint="eastAsia"/>
          <w:b/>
          <w:szCs w:val="21"/>
          <w:shd w:val="pct10" w:color="auto" w:fill="FFFFFF"/>
        </w:rPr>
        <w:t>客户采购组织分析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 xml:space="preserve">客户组织分析的三个层面 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 xml:space="preserve">组织分析工具1：管理层级分析—操作层、管理层、决策层 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组织分析工具2：客户立场分析—教练、支持、中立、反对、死敌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组织分析工具3：客户角色分析—UB、EB、TB、DM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组织分析工具4：我们与对方的交往程度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组织分析工具5：采购小组对变革的态度—前卫者、创新者、务实者、保守派、顽固派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客户采购组织分析图工具</w:t>
      </w:r>
    </w:p>
    <w:p>
      <w:pPr>
        <w:spacing w:line="360" w:lineRule="auto"/>
        <w:jc w:val="left"/>
        <w:rPr>
          <w:b/>
          <w:szCs w:val="21"/>
          <w:shd w:val="pct10" w:color="auto" w:fill="FFFFFF"/>
        </w:rPr>
      </w:pPr>
      <w:r>
        <w:rPr>
          <w:b/>
          <w:szCs w:val="21"/>
          <w:shd w:val="pct10" w:color="auto" w:fill="FFFFFF"/>
        </w:rPr>
        <w:t>II</w:t>
      </w:r>
      <w:r>
        <w:rPr>
          <w:rFonts w:hint="eastAsia"/>
          <w:b/>
          <w:szCs w:val="21"/>
          <w:shd w:val="pct10" w:color="auto" w:fill="FFFFFF"/>
        </w:rPr>
        <w:t>发展教练与线人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 xml:space="preserve">发挥教练的三个作用：通风报信、暗中运筹、出谋划策 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 xml:space="preserve">教练帮助我们的原因：共赢（他的赢就是我们的赢） 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 xml:space="preserve">发展线人和教练的三个原则 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如何有效保护教练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如何验证教练的真伪-验证教练真伪的六个标准</w:t>
      </w:r>
    </w:p>
    <w:p>
      <w:pPr>
        <w:spacing w:line="360" w:lineRule="auto"/>
        <w:jc w:val="left"/>
        <w:rPr>
          <w:b/>
          <w:szCs w:val="21"/>
          <w:shd w:val="pct10" w:color="auto" w:fill="FFFFFF"/>
        </w:rPr>
      </w:pPr>
      <w:r>
        <w:rPr>
          <w:b/>
          <w:szCs w:val="21"/>
          <w:shd w:val="pct10" w:color="auto" w:fill="FFFFFF"/>
        </w:rPr>
        <w:t>III</w:t>
      </w:r>
      <w:r>
        <w:rPr>
          <w:rFonts w:hint="eastAsia"/>
          <w:b/>
          <w:szCs w:val="21"/>
          <w:shd w:val="pct10" w:color="auto" w:fill="FFFFFF"/>
        </w:rPr>
        <w:t>需求的挖掘与引导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需求的定义及需求产生的根源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客户的四种需求类型：刚需型、改善型、平衡型、骄傲型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激发客户需求的两种方式：提高期望或恶化现状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客户需求的冰山理论：产品的需求、组织的需求与个人的需求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引导客户方决策层需求的“U” 模式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案例：如何将预算100万的项目引导成了1000万的项目？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激发客户需求的S-P-I-N策略</w:t>
      </w:r>
    </w:p>
    <w:p>
      <w:pPr>
        <w:spacing w:line="360" w:lineRule="auto"/>
        <w:jc w:val="left"/>
        <w:rPr>
          <w:szCs w:val="21"/>
        </w:rPr>
      </w:pPr>
      <w:r>
        <w:rPr>
          <w:rFonts w:hint="eastAsia" w:asciiTheme="minorEastAsia" w:hAnsiTheme="minorEastAsia"/>
          <w:szCs w:val="21"/>
        </w:rPr>
        <w:t>·</w:t>
      </w:r>
      <w:r>
        <w:rPr>
          <w:rFonts w:hint="eastAsia"/>
          <w:szCs w:val="21"/>
        </w:rPr>
        <w:t>案例：某窑炉维修方案的需求引导话术</w:t>
      </w:r>
    </w:p>
    <w:p>
      <w:pPr>
        <w:spacing w:line="360" w:lineRule="auto"/>
        <w:jc w:val="left"/>
        <w:rPr>
          <w:rFonts w:ascii="微软雅黑" w:hAnsi="微软雅黑" w:eastAsia="微软雅黑"/>
          <w:b/>
          <w:szCs w:val="21"/>
        </w:rPr>
      </w:pPr>
    </w:p>
    <w:p>
      <w:pPr>
        <w:spacing w:line="360" w:lineRule="auto"/>
        <w:jc w:val="lef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第四单元 提供方案阶段</w:t>
      </w:r>
    </w:p>
    <w:p>
      <w:pPr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·提供方案阶段的目标和任务</w:t>
      </w:r>
    </w:p>
    <w:p>
      <w:pPr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·客户对客制化解决方案的三个关注点</w:t>
      </w:r>
    </w:p>
    <w:p>
      <w:pPr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·一份书面化解决方案的七个要素</w:t>
      </w:r>
    </w:p>
    <w:p>
      <w:pPr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·方案介绍的工具：FABE策略</w:t>
      </w:r>
    </w:p>
    <w:p>
      <w:pPr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·FABE策略的四个部分内容</w:t>
      </w:r>
    </w:p>
    <w:p>
      <w:pPr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·解决方案的两种价值:硬货币价值与软货币价值</w:t>
      </w:r>
    </w:p>
    <w:p>
      <w:pPr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·硬货币价值量化的三个原则</w:t>
      </w:r>
    </w:p>
    <w:p>
      <w:pPr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·IBM公司的解决方案客户价值计算工具</w:t>
      </w:r>
    </w:p>
    <w:p>
      <w:pPr>
        <w:spacing w:line="360" w:lineRule="auto"/>
        <w:jc w:val="left"/>
        <w:rPr>
          <w:rFonts w:ascii="微软雅黑" w:hAnsi="微软雅黑" w:eastAsia="微软雅黑"/>
          <w:b/>
          <w:szCs w:val="21"/>
        </w:rPr>
      </w:pPr>
      <w:r>
        <w:rPr>
          <w:rFonts w:hint="eastAsia" w:asciiTheme="minorEastAsia" w:hAnsiTheme="minorEastAsia"/>
          <w:szCs w:val="21"/>
        </w:rPr>
        <w:t>·案例：某窑炉热维修方案的介绍与量化价值对比</w:t>
      </w:r>
    </w:p>
    <w:p>
      <w:pPr>
        <w:spacing w:line="360" w:lineRule="auto"/>
        <w:jc w:val="left"/>
        <w:rPr>
          <w:rFonts w:ascii="微软雅黑" w:hAnsi="微软雅黑" w:eastAsia="微软雅黑"/>
          <w:b/>
          <w:szCs w:val="21"/>
        </w:rPr>
      </w:pPr>
    </w:p>
    <w:p>
      <w:pPr>
        <w:spacing w:line="360" w:lineRule="auto"/>
        <w:jc w:val="lef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第五单元 引导决策阶段</w:t>
      </w:r>
    </w:p>
    <w:p>
      <w:pPr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·引导决策阶段的目标和任务</w:t>
      </w:r>
    </w:p>
    <w:p>
      <w:pPr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·不同角色在项目不同阶段的影响力变化</w:t>
      </w:r>
    </w:p>
    <w:p>
      <w:pPr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·关键决策人（DM）的定义</w:t>
      </w:r>
    </w:p>
    <w:p>
      <w:pPr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·面向决策人销售的目标设定</w:t>
      </w:r>
    </w:p>
    <w:p>
      <w:pPr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·销售人员在面向关键决策人销售时的主要困惑</w:t>
      </w:r>
    </w:p>
    <w:p>
      <w:pPr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·面向关键决策人销售的三个步骤</w:t>
      </w:r>
    </w:p>
    <w:p>
      <w:pPr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1）“见”的技巧</w:t>
      </w:r>
    </w:p>
    <w:p>
      <w:pPr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2）“谈”的技巧</w:t>
      </w:r>
    </w:p>
    <w:p>
      <w:pPr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3）“推”的技巧</w:t>
      </w:r>
    </w:p>
    <w:p>
      <w:pPr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·案例：X市电力局照明器具改造升级项目决策层公关案例</w:t>
      </w:r>
    </w:p>
    <w:p>
      <w:pPr>
        <w:spacing w:line="360" w:lineRule="auto"/>
        <w:jc w:val="left"/>
        <w:rPr>
          <w:szCs w:val="21"/>
        </w:rPr>
      </w:pPr>
    </w:p>
    <w:p>
      <w:pPr>
        <w:spacing w:line="360" w:lineRule="auto"/>
        <w:jc w:val="lef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第六单元 协议签署阶段（略）</w:t>
      </w:r>
    </w:p>
    <w:p>
      <w:pPr>
        <w:spacing w:line="360" w:lineRule="auto"/>
        <w:jc w:val="left"/>
        <w:rPr>
          <w:rFonts w:asciiTheme="minorEastAsia" w:hAnsiTheme="minorEastAsia"/>
          <w:b/>
          <w:color w:val="FF0000"/>
          <w:szCs w:val="21"/>
        </w:rPr>
      </w:pPr>
      <w:r>
        <w:rPr>
          <w:rFonts w:hint="eastAsia" w:asciiTheme="minorEastAsia" w:hAnsiTheme="minorEastAsia"/>
          <w:b/>
          <w:color w:val="FF0000"/>
          <w:szCs w:val="21"/>
        </w:rPr>
        <w:t>（三天版本可在此处增加一天谈判的内容，具体课纲请参见A003）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decorative"/>
    <w:pitch w:val="default"/>
    <w:sig w:usb0="00000000" w:usb1="00000000" w:usb2="00000000" w:usb3="00000000" w:csb0="8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1E4036"/>
    <w:multiLevelType w:val="multilevel"/>
    <w:tmpl w:val="671E403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RmMTNlNmNiYThmYmFhNTE3ZjQyMmUzNzU2NDdhMWYifQ=="/>
  </w:docVars>
  <w:rsids>
    <w:rsidRoot w:val="00583452"/>
    <w:rsid w:val="00583452"/>
    <w:rsid w:val="00EB4FAE"/>
    <w:rsid w:val="61BD7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1540</Words>
  <Characters>1576</Characters>
  <Lines>12</Lines>
  <Paragraphs>3</Paragraphs>
  <TotalTime>0</TotalTime>
  <ScaleCrop>false</ScaleCrop>
  <LinksUpToDate>false</LinksUpToDate>
  <CharactersWithSpaces>1588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2022-11-09T05:57:00Z</dcterms:created>
  <dc:creator>Microsoft Office User</dc:creator>
  <cp:lastModifiedBy>xue</cp:lastModifiedBy>
  <dcterms:modified xsi:type="dcterms:W3CDTF">2023-01-31T01:29:46Z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7E31971593704ECDAB673FD41CBDA734</vt:lpwstr>
  </property>
</Properties>
</file>