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12" w:lineRule="auto"/>
        <w:rPr>
          <w:rFonts w:ascii="宋体" w:hAnsi="宋体" w:eastAsia="宋体" w:cs="Times New Roman"/>
          <w:bCs/>
          <w:szCs w:val="21"/>
        </w:rPr>
      </w:pPr>
    </w:p>
    <w:p>
      <w:pPr>
        <w:jc w:val="left"/>
      </w:pPr>
      <w:r>
        <mc:AlternateContent>
          <mc:Choice Requires="wps">
            <w:drawing>
              <wp:anchor distT="0" distB="0" distL="114300" distR="114300" simplePos="0" relativeHeight="251661312" behindDoc="0" locked="0" layoutInCell="1" allowOverlap="1">
                <wp:simplePos x="0" y="0"/>
                <wp:positionH relativeFrom="column">
                  <wp:posOffset>-1037590</wp:posOffset>
                </wp:positionH>
                <wp:positionV relativeFrom="paragraph">
                  <wp:posOffset>119380</wp:posOffset>
                </wp:positionV>
                <wp:extent cx="6907530" cy="883285"/>
                <wp:effectExtent l="0" t="0" r="0" b="0"/>
                <wp:wrapNone/>
                <wp:docPr id="58" name="Text Box 41"/>
                <wp:cNvGraphicFramePr/>
                <a:graphic xmlns:a="http://schemas.openxmlformats.org/drawingml/2006/main">
                  <a:graphicData uri="http://schemas.microsoft.com/office/word/2010/wordprocessingShape">
                    <wps:wsp>
                      <wps:cNvSpPr txBox="1"/>
                      <wps:spPr bwMode="auto">
                        <a:xfrm>
                          <a:off x="0" y="0"/>
                          <a:ext cx="6907530" cy="883285"/>
                        </a:xfrm>
                        <a:prstGeom prst="rect">
                          <a:avLst/>
                        </a:prstGeom>
                        <a:noFill/>
                        <a:ln>
                          <a:noFill/>
                        </a:ln>
                      </wps:spPr>
                      <wps:txbx>
                        <w:txbxContent>
                          <w:p>
                            <w:pPr>
                              <w:ind w:firstLine="1500" w:firstLineChars="500"/>
                              <w:rPr>
                                <w:rFonts w:ascii="宋体" w:hAnsi="宋体" w:eastAsia="宋体" w:cs="宋体"/>
                                <w:color w:val="000000"/>
                                <w:kern w:val="0"/>
                                <w:sz w:val="30"/>
                                <w:szCs w:val="30"/>
                              </w:rPr>
                            </w:pPr>
                            <w:r>
                              <w:rPr>
                                <w:rFonts w:hint="eastAsia" w:ascii="微软雅黑" w:hAnsi="微软雅黑" w:eastAsia="微软雅黑" w:cs="宋体"/>
                                <w:color w:val="000000"/>
                                <w:kern w:val="0"/>
                                <w:sz w:val="30"/>
                                <w:szCs w:val="30"/>
                              </w:rPr>
                              <w:t>D004互联网时代的B2B品牌塑造与整合营销传播（1-2天）</w:t>
                            </w:r>
                          </w:p>
                          <w:p>
                            <w:pPr>
                              <w:rPr>
                                <w:rFonts w:ascii="宋体" w:hAnsi="宋体" w:eastAsia="宋体" w:cs="宋体"/>
                                <w:color w:val="000000"/>
                                <w:kern w:val="0"/>
                                <w:sz w:val="36"/>
                                <w:szCs w:val="36"/>
                              </w:rPr>
                            </w:pPr>
                          </w:p>
                          <w:p>
                            <w:pPr>
                              <w:ind w:firstLine="1950" w:firstLineChars="650"/>
                              <w:rPr>
                                <w:rFonts w:ascii="微软雅黑" w:hAnsi="微软雅黑" w:eastAsia="微软雅黑"/>
                                <w:b/>
                                <w:sz w:val="36"/>
                                <w:szCs w:val="36"/>
                              </w:rPr>
                            </w:pPr>
                            <w:r>
                              <w:rPr>
                                <w:rFonts w:hint="eastAsia" w:ascii="微软雅黑" w:hAnsi="微软雅黑" w:eastAsia="微软雅黑"/>
                                <w:bCs/>
                                <w:sz w:val="30"/>
                                <w:szCs w:val="30"/>
                              </w:rPr>
                              <w:t>（1-2天）</w:t>
                            </w:r>
                          </w:p>
                          <w:p>
                            <w:pPr>
                              <w:rPr>
                                <w:rFonts w:ascii="黑体" w:hAnsi="宋体" w:eastAsia="黑体"/>
                                <w:b/>
                                <w:sz w:val="30"/>
                                <w:szCs w:val="30"/>
                              </w:rPr>
                            </w:pPr>
                          </w:p>
                          <w:p>
                            <w:pPr>
                              <w:rPr>
                                <w:rFonts w:ascii="黑体" w:hAnsi="宋体" w:eastAsia="黑体"/>
                                <w:b/>
                                <w:sz w:val="30"/>
                                <w:szCs w:val="30"/>
                              </w:rPr>
                            </w:pPr>
                          </w:p>
                        </w:txbxContent>
                      </wps:txbx>
                      <wps:bodyPr rot="0" vert="horz" wrap="square" lIns="91440" tIns="45720" rIns="91440" bIns="45720" anchor="t" anchorCtr="0" upright="1">
                        <a:noAutofit/>
                      </wps:bodyPr>
                    </wps:wsp>
                  </a:graphicData>
                </a:graphic>
              </wp:anchor>
            </w:drawing>
          </mc:Choice>
          <mc:Fallback>
            <w:pict>
              <v:shape id="Text Box 41" o:spid="_x0000_s1026" o:spt="202" type="#_x0000_t202" style="position:absolute;left:0pt;margin-left:-81.7pt;margin-top:9.4pt;height:69.55pt;width:543.9pt;z-index:251661312;mso-width-relative:page;mso-height-relative:page;" filled="f" stroked="f" coordsize="21600,21600" o:gfxdata="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nx+b3XAAAACwEAAA8AAAAAAAAAAQAgAAAAIgAAAGRycy9kb3ducmV2LnhtbFBLAQIUABQAAAAI&#10;AIdO4kAuz68T7gEAAOYDAAAOAAAAAAAAAAEAIAAAACYBAABkcnMvZTJvRG9jLnhtbFBLBQYAAAAA&#10;BgAGAFkBAACGBQAAAAA=&#10;">
                <v:fill on="f" focussize="0,0"/>
                <v:stroke on="f"/>
                <v:imagedata o:title=""/>
                <o:lock v:ext="edit" aspectratio="f"/>
                <v:textbox>
                  <w:txbxContent>
                    <w:p>
                      <w:pPr>
                        <w:ind w:firstLine="1500" w:firstLineChars="500"/>
                        <w:rPr>
                          <w:rFonts w:ascii="宋体" w:hAnsi="宋体" w:eastAsia="宋体" w:cs="宋体"/>
                          <w:color w:val="000000"/>
                          <w:kern w:val="0"/>
                          <w:sz w:val="30"/>
                          <w:szCs w:val="30"/>
                        </w:rPr>
                      </w:pPr>
                      <w:r>
                        <w:rPr>
                          <w:rFonts w:hint="eastAsia" w:ascii="微软雅黑" w:hAnsi="微软雅黑" w:eastAsia="微软雅黑" w:cs="宋体"/>
                          <w:color w:val="000000"/>
                          <w:kern w:val="0"/>
                          <w:sz w:val="30"/>
                          <w:szCs w:val="30"/>
                        </w:rPr>
                        <w:t>D004互联网时代的B2B品牌塑造与整合营销传播（1-2天）</w:t>
                      </w:r>
                    </w:p>
                    <w:p>
                      <w:pPr>
                        <w:rPr>
                          <w:rFonts w:ascii="宋体" w:hAnsi="宋体" w:eastAsia="宋体" w:cs="宋体"/>
                          <w:color w:val="000000"/>
                          <w:kern w:val="0"/>
                          <w:sz w:val="36"/>
                          <w:szCs w:val="36"/>
                        </w:rPr>
                      </w:pPr>
                    </w:p>
                    <w:p>
                      <w:pPr>
                        <w:ind w:firstLine="1950" w:firstLineChars="650"/>
                        <w:rPr>
                          <w:rFonts w:ascii="微软雅黑" w:hAnsi="微软雅黑" w:eastAsia="微软雅黑"/>
                          <w:b/>
                          <w:sz w:val="36"/>
                          <w:szCs w:val="36"/>
                        </w:rPr>
                      </w:pPr>
                      <w:r>
                        <w:rPr>
                          <w:rFonts w:hint="eastAsia" w:ascii="微软雅黑" w:hAnsi="微软雅黑" w:eastAsia="微软雅黑"/>
                          <w:bCs/>
                          <w:sz w:val="30"/>
                          <w:szCs w:val="30"/>
                        </w:rPr>
                        <w:t>（1-2天）</w:t>
                      </w:r>
                    </w:p>
                    <w:p>
                      <w:pPr>
                        <w:rPr>
                          <w:rFonts w:ascii="黑体" w:hAnsi="宋体" w:eastAsia="黑体"/>
                          <w:b/>
                          <w:sz w:val="30"/>
                          <w:szCs w:val="30"/>
                        </w:rPr>
                      </w:pPr>
                    </w:p>
                    <w:p>
                      <w:pPr>
                        <w:rPr>
                          <w:rFonts w:ascii="黑体" w:hAnsi="宋体" w:eastAsia="黑体"/>
                          <w:b/>
                          <w:sz w:val="30"/>
                          <w:szCs w:val="30"/>
                        </w:rPr>
                      </w:pPr>
                    </w:p>
                  </w:txbxContent>
                </v:textbox>
              </v:shape>
            </w:pict>
          </mc:Fallback>
        </mc:AlternateContent>
      </w:r>
    </w:p>
    <w:p>
      <w:pPr>
        <w:jc w:val="left"/>
      </w:pPr>
    </w:p>
    <w:p>
      <w:pPr>
        <w:jc w:val="left"/>
      </w:pPr>
    </w:p>
    <w:p>
      <w:pPr>
        <w:jc w:val="left"/>
      </w:pPr>
    </w:p>
    <w:p>
      <w:pPr>
        <w:jc w:val="left"/>
      </w:pPr>
    </w:p>
    <w:p>
      <w:pPr>
        <w:jc w:val="left"/>
      </w:pPr>
      <w:r>
        <w:drawing>
          <wp:inline distT="0" distB="0" distL="0" distR="0">
            <wp:extent cx="5274310" cy="3557905"/>
            <wp:effectExtent l="19050" t="0" r="2540" b="0"/>
            <wp:docPr id="123" name="图片 1" descr="C:\Users\mac\Desktop\2019年课程资料准备包\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 descr="C:\Users\mac\Desktop\2019年课程资料准备包\图片1.png"/>
                    <pic:cNvPicPr>
                      <a:picLocks noChangeAspect="1" noChangeArrowheads="1"/>
                    </pic:cNvPicPr>
                  </pic:nvPicPr>
                  <pic:blipFill>
                    <a:blip r:embed="rId4"/>
                    <a:srcRect/>
                    <a:stretch>
                      <a:fillRect/>
                    </a:stretch>
                  </pic:blipFill>
                  <pic:spPr>
                    <a:xfrm>
                      <a:off x="0" y="0"/>
                      <a:ext cx="5274310" cy="3558108"/>
                    </a:xfrm>
                    <a:prstGeom prst="rect">
                      <a:avLst/>
                    </a:prstGeom>
                    <a:noFill/>
                    <a:ln w="9525">
                      <a:noFill/>
                      <a:miter lim="800000"/>
                      <a:headEnd/>
                      <a:tailEnd/>
                    </a:ln>
                  </pic:spPr>
                </pic:pic>
              </a:graphicData>
            </a:graphic>
          </wp:inline>
        </w:drawing>
      </w:r>
    </w:p>
    <w:p>
      <w:pPr>
        <w:jc w:val="left"/>
      </w:pPr>
    </w:p>
    <w:p>
      <w:pPr>
        <w:jc w:val="left"/>
      </w:pPr>
    </w:p>
    <w:p>
      <w:pPr>
        <w:jc w:val="left"/>
      </w:pPr>
    </w:p>
    <w:p>
      <w:pPr>
        <w:jc w:val="left"/>
      </w:pPr>
      <w:r>
        <mc:AlternateContent>
          <mc:Choice Requires="wps">
            <w:drawing>
              <wp:anchor distT="0" distB="0" distL="114300" distR="114300" simplePos="0" relativeHeight="251662336" behindDoc="0" locked="0" layoutInCell="1" allowOverlap="1">
                <wp:simplePos x="0" y="0"/>
                <wp:positionH relativeFrom="column">
                  <wp:posOffset>370840</wp:posOffset>
                </wp:positionH>
                <wp:positionV relativeFrom="paragraph">
                  <wp:posOffset>48895</wp:posOffset>
                </wp:positionV>
                <wp:extent cx="4800600" cy="532765"/>
                <wp:effectExtent l="0" t="0" r="0" b="0"/>
                <wp:wrapNone/>
                <wp:docPr id="57" name="Text Box 40"/>
                <wp:cNvGraphicFramePr/>
                <a:graphic xmlns:a="http://schemas.openxmlformats.org/drawingml/2006/main">
                  <a:graphicData uri="http://schemas.microsoft.com/office/word/2010/wordprocessingShape">
                    <wps:wsp>
                      <wps:cNvSpPr txBox="1"/>
                      <wps:spPr bwMode="auto">
                        <a:xfrm>
                          <a:off x="0" y="0"/>
                          <a:ext cx="4800600" cy="532765"/>
                        </a:xfrm>
                        <a:prstGeom prst="rect">
                          <a:avLst/>
                        </a:prstGeom>
                        <a:noFill/>
                        <a:ln>
                          <a:noFill/>
                        </a:ln>
                      </wps:spPr>
                      <wps:txbx>
                        <w:txbxContent>
                          <w:p>
                            <w:pPr>
                              <w:ind w:firstLine="2240" w:firstLineChars="800"/>
                              <w:rPr>
                                <w:rFonts w:ascii="微软雅黑" w:hAnsi="微软雅黑" w:eastAsia="微软雅黑"/>
                                <w:b/>
                                <w:sz w:val="30"/>
                                <w:szCs w:val="30"/>
                              </w:rPr>
                            </w:pPr>
                            <w:r>
                              <w:rPr>
                                <w:rFonts w:hint="eastAsia" w:ascii="微软雅黑" w:hAnsi="微软雅黑" w:eastAsia="微软雅黑"/>
                                <w:color w:val="000000"/>
                                <w:sz w:val="28"/>
                                <w:szCs w:val="28"/>
                              </w:rPr>
                              <w:t>主讲： 张长江</w:t>
                            </w:r>
                          </w:p>
                        </w:txbxContent>
                      </wps:txbx>
                      <wps:bodyPr rot="0" vert="horz" wrap="square" lIns="91440" tIns="45720" rIns="91440" bIns="45720" anchor="t" anchorCtr="0" upright="1">
                        <a:noAutofit/>
                      </wps:bodyPr>
                    </wps:wsp>
                  </a:graphicData>
                </a:graphic>
              </wp:anchor>
            </w:drawing>
          </mc:Choice>
          <mc:Fallback>
            <w:pict>
              <v:shape id="Text Box 40" o:spid="_x0000_s1026" o:spt="202" type="#_x0000_t202" style="position:absolute;left:0pt;margin-left:29.2pt;margin-top:3.85pt;height:41.95pt;width:378pt;z-index:251662336;mso-width-relative:page;mso-height-relative:page;" filled="f" stroked="f" coordsize="21600,21600" o:gfxdata="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wxFN&#10;sdQAAAAHAQAADwAAAAAAAAABACAAAAAiAAAAZHJzL2Rvd25yZXYueG1sUEsBAhQAFAAAAAgAh07i&#10;QBwmF0ftAQAA5gMAAA4AAAAAAAAAAQAgAAAAIwEAAGRycy9lMm9Eb2MueG1sUEsFBgAAAAAGAAYA&#10;WQEAAIIFAAAAAA==&#10;">
                <v:fill on="f" focussize="0,0"/>
                <v:stroke on="f"/>
                <v:imagedata o:title=""/>
                <o:lock v:ext="edit" aspectratio="f"/>
                <v:textbox>
                  <w:txbxContent>
                    <w:p>
                      <w:pPr>
                        <w:ind w:firstLine="2240" w:firstLineChars="800"/>
                        <w:rPr>
                          <w:rFonts w:ascii="微软雅黑" w:hAnsi="微软雅黑" w:eastAsia="微软雅黑"/>
                          <w:b/>
                          <w:sz w:val="30"/>
                          <w:szCs w:val="30"/>
                        </w:rPr>
                      </w:pPr>
                      <w:r>
                        <w:rPr>
                          <w:rFonts w:hint="eastAsia" w:ascii="微软雅黑" w:hAnsi="微软雅黑" w:eastAsia="微软雅黑"/>
                          <w:color w:val="000000"/>
                          <w:sz w:val="28"/>
                          <w:szCs w:val="28"/>
                        </w:rPr>
                        <w:t>主讲： 张长江</w:t>
                      </w:r>
                    </w:p>
                  </w:txbxContent>
                </v:textbox>
              </v:shape>
            </w:pict>
          </mc:Fallback>
        </mc:AlternateContent>
      </w: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spacing w:line="360" w:lineRule="auto"/>
        <w:rPr>
          <w:rFonts w:asciiTheme="minorEastAsia" w:hAnsiTheme="minorEastAsia"/>
          <w:szCs w:val="21"/>
        </w:rPr>
      </w:pPr>
    </w:p>
    <w:p>
      <w:pPr>
        <w:spacing w:line="360" w:lineRule="auto"/>
        <w:rPr>
          <w:rFonts w:ascii="微软雅黑" w:hAnsi="微软雅黑" w:eastAsia="微软雅黑"/>
          <w:b/>
          <w:sz w:val="28"/>
          <w:szCs w:val="28"/>
        </w:rPr>
      </w:pPr>
      <w:r>
        <w:rPr>
          <w:rFonts w:hint="eastAsia" w:ascii="微软雅黑" w:hAnsi="微软雅黑" w:eastAsia="微软雅黑"/>
          <w:b/>
          <w:sz w:val="28"/>
          <w:szCs w:val="28"/>
        </w:rPr>
        <w:t>课程背景</w:t>
      </w:r>
    </w:p>
    <w:p>
      <w:pPr>
        <w:spacing w:line="360" w:lineRule="auto"/>
        <w:rPr>
          <w:rFonts w:ascii="宋体" w:hAnsi="宋体"/>
          <w:szCs w:val="21"/>
        </w:rPr>
      </w:pPr>
    </w:p>
    <w:p>
      <w:pPr>
        <w:spacing w:line="360" w:lineRule="auto"/>
        <w:ind w:firstLine="420" w:firstLineChars="200"/>
        <w:rPr>
          <w:rFonts w:ascii="宋体" w:hAnsi="宋体"/>
          <w:szCs w:val="21"/>
        </w:rPr>
      </w:pPr>
      <w:r>
        <w:rPr>
          <w:rFonts w:hint="eastAsia" w:ascii="宋体" w:hAnsi="宋体"/>
          <w:szCs w:val="21"/>
        </w:rPr>
        <w:t>本课程专门针对在B2B企业中从事品牌与市场管理工作的人员设置，旨在全面提升品牌与市场管理人员的品牌管理水平和市场营销策划能力，掌握互联网时代品牌整合营销传播的方法和工具。</w:t>
      </w:r>
    </w:p>
    <w:p>
      <w:pPr>
        <w:spacing w:line="360" w:lineRule="auto"/>
        <w:ind w:firstLine="420" w:firstLineChars="200"/>
        <w:rPr>
          <w:rFonts w:ascii="宋体" w:hAnsi="宋体"/>
          <w:szCs w:val="21"/>
        </w:rPr>
      </w:pPr>
      <w:r>
        <w:rPr>
          <w:rFonts w:hint="eastAsia" w:ascii="宋体" w:hAnsi="宋体"/>
          <w:szCs w:val="21"/>
        </w:rPr>
        <w:t>通过对本课程的学习，学员可以掌握以下关于工业品（B2B）品牌塑造和品牌整合营销传播的技能：</w:t>
      </w:r>
    </w:p>
    <w:p>
      <w:pPr>
        <w:pStyle w:val="4"/>
        <w:numPr>
          <w:ilvl w:val="0"/>
          <w:numId w:val="1"/>
        </w:numPr>
        <w:spacing w:line="360" w:lineRule="auto"/>
        <w:ind w:firstLineChars="0"/>
        <w:rPr>
          <w:rFonts w:ascii="宋体" w:hAnsi="宋体"/>
          <w:szCs w:val="21"/>
        </w:rPr>
      </w:pPr>
      <w:r>
        <w:rPr>
          <w:rFonts w:hint="eastAsia" w:ascii="宋体" w:hAnsi="宋体"/>
          <w:szCs w:val="21"/>
        </w:rPr>
        <w:t>达彼斯品牌轮盘图工具/品牌故事的讲述逻辑</w:t>
      </w:r>
    </w:p>
    <w:p>
      <w:pPr>
        <w:pStyle w:val="4"/>
        <w:numPr>
          <w:ilvl w:val="0"/>
          <w:numId w:val="1"/>
        </w:numPr>
        <w:spacing w:line="360" w:lineRule="auto"/>
        <w:ind w:firstLineChars="0"/>
        <w:rPr>
          <w:rFonts w:ascii="宋体" w:hAnsi="宋体"/>
          <w:szCs w:val="21"/>
        </w:rPr>
      </w:pPr>
      <w:r>
        <w:rPr>
          <w:rFonts w:hint="eastAsia" w:ascii="宋体" w:hAnsi="宋体"/>
          <w:szCs w:val="21"/>
        </w:rPr>
        <w:t>品牌定位图/MDS</w:t>
      </w:r>
      <w:r>
        <w:rPr>
          <w:rFonts w:ascii="Arial" w:hAnsi="Arial" w:cs="Arial"/>
          <w:color w:val="333333"/>
          <w:szCs w:val="21"/>
        </w:rPr>
        <w:t xml:space="preserve"> </w:t>
      </w:r>
      <w:r>
        <w:rPr>
          <w:rFonts w:hint="eastAsia" w:ascii="Arial" w:hAnsi="Arial" w:cs="Arial"/>
          <w:color w:val="333333"/>
          <w:szCs w:val="21"/>
        </w:rPr>
        <w:t>(</w:t>
      </w:r>
      <w:r>
        <w:rPr>
          <w:rFonts w:ascii="Arial" w:hAnsi="Arial" w:cs="Arial"/>
          <w:color w:val="333333"/>
          <w:szCs w:val="21"/>
        </w:rPr>
        <w:t>Multi</w:t>
      </w:r>
      <w:r>
        <w:rPr>
          <w:rFonts w:hint="eastAsia" w:ascii="Arial" w:hAnsi="Arial" w:cs="Arial"/>
          <w:color w:val="333333"/>
          <w:szCs w:val="21"/>
        </w:rPr>
        <w:t>-</w:t>
      </w:r>
      <w:r>
        <w:rPr>
          <w:rFonts w:ascii="Arial" w:hAnsi="Arial" w:cs="Arial"/>
          <w:color w:val="333333"/>
          <w:szCs w:val="21"/>
        </w:rPr>
        <w:t>Dimensional Scaling</w:t>
      </w:r>
      <w:r>
        <w:rPr>
          <w:rFonts w:hint="eastAsia" w:ascii="Arial" w:hAnsi="Arial" w:cs="Arial"/>
          <w:color w:val="333333"/>
          <w:szCs w:val="21"/>
        </w:rPr>
        <w:t>)</w:t>
      </w:r>
      <w:r>
        <w:rPr>
          <w:rFonts w:hint="eastAsia" w:ascii="宋体" w:hAnsi="宋体"/>
          <w:szCs w:val="21"/>
        </w:rPr>
        <w:t>多维尺度分析/直觉图的绘制方法</w:t>
      </w:r>
    </w:p>
    <w:p>
      <w:pPr>
        <w:pStyle w:val="4"/>
        <w:numPr>
          <w:ilvl w:val="0"/>
          <w:numId w:val="1"/>
        </w:numPr>
        <w:spacing w:line="360" w:lineRule="auto"/>
        <w:ind w:firstLineChars="0"/>
        <w:rPr>
          <w:rFonts w:ascii="宋体" w:hAnsi="宋体"/>
          <w:szCs w:val="21"/>
        </w:rPr>
      </w:pPr>
      <w:r>
        <w:rPr>
          <w:rFonts w:hint="eastAsia" w:ascii="宋体" w:hAnsi="宋体"/>
          <w:szCs w:val="21"/>
        </w:rPr>
        <w:t>企业品牌定位与产品品牌定位的确定方法（含工具）</w:t>
      </w:r>
    </w:p>
    <w:p>
      <w:pPr>
        <w:pStyle w:val="4"/>
        <w:numPr>
          <w:ilvl w:val="0"/>
          <w:numId w:val="1"/>
        </w:numPr>
        <w:spacing w:line="360" w:lineRule="auto"/>
        <w:ind w:firstLineChars="0"/>
        <w:rPr>
          <w:rFonts w:ascii="宋体" w:hAnsi="宋体"/>
          <w:szCs w:val="21"/>
        </w:rPr>
      </w:pPr>
      <w:r>
        <w:rPr>
          <w:rFonts w:hint="eastAsia" w:ascii="宋体" w:hAnsi="宋体"/>
          <w:szCs w:val="21"/>
        </w:rPr>
        <w:t>产品品牌价值主张的提炼</w:t>
      </w:r>
    </w:p>
    <w:p>
      <w:pPr>
        <w:pStyle w:val="4"/>
        <w:numPr>
          <w:ilvl w:val="0"/>
          <w:numId w:val="1"/>
        </w:numPr>
        <w:spacing w:line="360" w:lineRule="auto"/>
        <w:ind w:firstLineChars="0"/>
        <w:rPr>
          <w:rFonts w:ascii="宋体" w:hAnsi="宋体"/>
          <w:szCs w:val="21"/>
        </w:rPr>
      </w:pPr>
      <w:r>
        <w:rPr>
          <w:rFonts w:hint="eastAsia" w:ascii="宋体" w:hAnsi="宋体"/>
          <w:szCs w:val="21"/>
        </w:rPr>
        <w:t>年度IMC整合营销传播计划的编制方法</w:t>
      </w:r>
    </w:p>
    <w:p>
      <w:pPr>
        <w:pStyle w:val="4"/>
        <w:numPr>
          <w:ilvl w:val="0"/>
          <w:numId w:val="1"/>
        </w:numPr>
        <w:spacing w:line="360" w:lineRule="auto"/>
        <w:ind w:firstLineChars="0"/>
        <w:rPr>
          <w:rFonts w:ascii="宋体" w:hAnsi="宋体"/>
          <w:szCs w:val="21"/>
        </w:rPr>
      </w:pPr>
      <w:r>
        <w:rPr>
          <w:rFonts w:hint="eastAsia" w:ascii="宋体" w:hAnsi="宋体"/>
          <w:szCs w:val="21"/>
        </w:rPr>
        <w:t>如何构建BIS品牌识别系统</w:t>
      </w:r>
    </w:p>
    <w:p>
      <w:pPr>
        <w:pStyle w:val="4"/>
        <w:numPr>
          <w:ilvl w:val="0"/>
          <w:numId w:val="1"/>
        </w:numPr>
        <w:spacing w:line="360" w:lineRule="auto"/>
        <w:ind w:firstLineChars="0"/>
        <w:rPr>
          <w:rFonts w:ascii="宋体" w:hAnsi="宋体"/>
          <w:szCs w:val="21"/>
        </w:rPr>
      </w:pPr>
      <w:r>
        <w:rPr>
          <w:rFonts w:hint="eastAsia" w:ascii="宋体" w:hAnsi="宋体"/>
          <w:szCs w:val="21"/>
        </w:rPr>
        <w:t>传统的B2B品牌传播手段：公共关系、事件营销、展会营销、技术交流活动、体育营销、文化营销、慈善营销、广告</w:t>
      </w:r>
      <w:r>
        <w:rPr>
          <w:rFonts w:ascii="宋体" w:hAnsi="宋体"/>
          <w:szCs w:val="21"/>
        </w:rPr>
        <w:t>…</w:t>
      </w:r>
    </w:p>
    <w:p>
      <w:pPr>
        <w:pStyle w:val="4"/>
        <w:numPr>
          <w:ilvl w:val="0"/>
          <w:numId w:val="1"/>
        </w:numPr>
        <w:spacing w:line="360" w:lineRule="auto"/>
        <w:ind w:firstLineChars="0"/>
        <w:rPr>
          <w:rFonts w:ascii="宋体" w:hAnsi="宋体"/>
          <w:szCs w:val="21"/>
        </w:rPr>
      </w:pPr>
      <w:r>
        <w:rPr>
          <w:rFonts w:hint="eastAsia" w:ascii="宋体" w:hAnsi="宋体"/>
          <w:szCs w:val="21"/>
        </w:rPr>
        <w:t>互联网时代的的B2B品牌传播手段：SNS社会化媒体营销、内容营销、裂变式传播</w:t>
      </w:r>
      <w:r>
        <w:rPr>
          <w:rFonts w:ascii="宋体" w:hAnsi="宋体"/>
          <w:szCs w:val="21"/>
        </w:rPr>
        <w:t>…</w:t>
      </w:r>
    </w:p>
    <w:p>
      <w:pPr>
        <w:spacing w:line="360" w:lineRule="auto"/>
        <w:rPr>
          <w:rFonts w:ascii="宋体" w:hAnsi="宋体"/>
          <w:szCs w:val="21"/>
        </w:rPr>
      </w:pPr>
      <w:r>
        <w:rPr>
          <w:rFonts w:hint="eastAsia" w:ascii="宋体" w:hAnsi="宋体"/>
          <w:szCs w:val="21"/>
        </w:rPr>
        <w:t>9、品牌传播的效果/绩效监测</w:t>
      </w:r>
    </w:p>
    <w:p>
      <w:pPr>
        <w:spacing w:line="360" w:lineRule="auto"/>
        <w:rPr>
          <w:rFonts w:asciiTheme="minorEastAsia" w:hAnsiTheme="minorEastAsia"/>
          <w:szCs w:val="21"/>
        </w:rPr>
      </w:pPr>
    </w:p>
    <w:p>
      <w:pPr>
        <w:spacing w:line="360" w:lineRule="auto"/>
        <w:jc w:val="left"/>
        <w:rPr>
          <w:rFonts w:ascii="微软雅黑" w:hAnsi="微软雅黑" w:eastAsia="微软雅黑"/>
          <w:b/>
          <w:sz w:val="28"/>
          <w:szCs w:val="28"/>
        </w:rPr>
      </w:pPr>
      <w:r>
        <w:rPr>
          <w:rFonts w:hint="eastAsia" w:ascii="微软雅黑" w:hAnsi="微软雅黑" w:eastAsia="微软雅黑"/>
          <w:b/>
          <w:sz w:val="28"/>
          <w:szCs w:val="28"/>
        </w:rPr>
        <w:t>课程特色</w:t>
      </w:r>
    </w:p>
    <w:p>
      <w:pPr>
        <w:spacing w:line="360" w:lineRule="auto"/>
        <w:jc w:val="left"/>
        <w:rPr>
          <w:szCs w:val="21"/>
        </w:rPr>
      </w:pPr>
      <w:r>
        <mc:AlternateContent>
          <mc:Choice Requires="wps">
            <w:drawing>
              <wp:anchor distT="0" distB="0" distL="114300" distR="114300" simplePos="0" relativeHeight="251659264" behindDoc="0" locked="0" layoutInCell="1" allowOverlap="1">
                <wp:simplePos x="0" y="0"/>
                <wp:positionH relativeFrom="column">
                  <wp:posOffset>-8890</wp:posOffset>
                </wp:positionH>
                <wp:positionV relativeFrom="paragraph">
                  <wp:posOffset>253365</wp:posOffset>
                </wp:positionV>
                <wp:extent cx="5144770" cy="1962785"/>
                <wp:effectExtent l="0" t="0" r="0" b="0"/>
                <wp:wrapNone/>
                <wp:docPr id="56" name="Text Box 39"/>
                <wp:cNvGraphicFramePr/>
                <a:graphic xmlns:a="http://schemas.openxmlformats.org/drawingml/2006/main">
                  <a:graphicData uri="http://schemas.microsoft.com/office/word/2010/wordprocessingShape">
                    <wps:wsp>
                      <wps:cNvSpPr txBox="1"/>
                      <wps:spPr bwMode="auto">
                        <a:xfrm>
                          <a:off x="0" y="0"/>
                          <a:ext cx="5144770" cy="1962785"/>
                        </a:xfrm>
                        <a:prstGeom prst="rect">
                          <a:avLst/>
                        </a:prstGeom>
                        <a:noFill/>
                        <a:ln>
                          <a:noFill/>
                        </a:ln>
                      </wps:spPr>
                      <wps:txbx>
                        <w:txbxContent>
                          <w:p>
                            <w:pPr>
                              <w:spacing w:line="360" w:lineRule="auto"/>
                              <w:jc w:val="left"/>
                              <w:rPr>
                                <w:rFonts w:ascii="宋体" w:hAnsi="宋体"/>
                                <w:color w:val="000000"/>
                                <w:szCs w:val="21"/>
                              </w:rPr>
                            </w:pPr>
                            <w:r>
                              <w:rPr>
                                <w:rFonts w:hint="eastAsia" w:ascii="宋体" w:hAnsi="宋体"/>
                                <w:bCs/>
                                <w:color w:val="3366FF"/>
                                <w:szCs w:val="21"/>
                              </w:rPr>
                              <w:sym w:font="Wingdings" w:char="0071"/>
                            </w:r>
                            <w:r>
                              <w:rPr>
                                <w:rFonts w:hint="eastAsia" w:ascii="宋体" w:hAnsi="宋体"/>
                                <w:color w:val="000000"/>
                                <w:szCs w:val="21"/>
                              </w:rPr>
                              <w:t>针对性强。本课程为B2B行业量身定制，培训师具有十五年B2B行业的一线销售与营销管理经验，培训紧密贴合行业特质，针对性强。</w:t>
                            </w:r>
                          </w:p>
                          <w:p>
                            <w:pPr>
                              <w:spacing w:line="360" w:lineRule="auto"/>
                              <w:jc w:val="left"/>
                              <w:rPr>
                                <w:rFonts w:ascii="宋体" w:hAnsi="宋体"/>
                                <w:color w:val="000000"/>
                                <w:szCs w:val="21"/>
                              </w:rPr>
                            </w:pPr>
                            <w:r>
                              <w:rPr>
                                <w:rFonts w:hint="eastAsia" w:ascii="宋体" w:hAnsi="宋体"/>
                                <w:bCs/>
                                <w:color w:val="3366FF"/>
                                <w:szCs w:val="21"/>
                              </w:rPr>
                              <w:sym w:font="Wingdings" w:char="0071"/>
                            </w:r>
                            <w:r>
                              <w:rPr>
                                <w:rFonts w:hint="eastAsia" w:ascii="宋体" w:hAnsi="宋体"/>
                                <w:color w:val="000000"/>
                                <w:szCs w:val="21"/>
                              </w:rPr>
                              <w:t>实战性强。课程以大量的</w:t>
                            </w:r>
                            <w:r>
                              <w:rPr>
                                <w:rFonts w:ascii="宋体" w:hAnsi="宋体"/>
                                <w:color w:val="000000"/>
                                <w:szCs w:val="21"/>
                              </w:rPr>
                              <w:t>实战案例展开讨论，结合实际</w:t>
                            </w:r>
                            <w:r>
                              <w:rPr>
                                <w:rFonts w:hint="eastAsia" w:ascii="宋体" w:hAnsi="宋体"/>
                                <w:color w:val="000000"/>
                                <w:szCs w:val="21"/>
                              </w:rPr>
                              <w:t>工作中学员经常遇到的问题讲解破题的方法</w:t>
                            </w:r>
                            <w:r>
                              <w:rPr>
                                <w:rFonts w:ascii="宋体" w:hAnsi="宋体"/>
                                <w:color w:val="000000"/>
                                <w:szCs w:val="21"/>
                              </w:rPr>
                              <w:t>，</w:t>
                            </w:r>
                            <w:r>
                              <w:rPr>
                                <w:rFonts w:hint="eastAsia" w:ascii="宋体" w:hAnsi="宋体"/>
                                <w:color w:val="000000"/>
                                <w:szCs w:val="21"/>
                              </w:rPr>
                              <w:t>很多实战的技巧和策略拿过来就可以用，实战性强</w:t>
                            </w:r>
                            <w:r>
                              <w:rPr>
                                <w:rFonts w:ascii="宋体" w:hAnsi="宋体"/>
                                <w:color w:val="000000"/>
                                <w:szCs w:val="21"/>
                              </w:rPr>
                              <w:t>。</w:t>
                            </w:r>
                          </w:p>
                          <w:p>
                            <w:pPr>
                              <w:spacing w:line="360" w:lineRule="auto"/>
                              <w:jc w:val="left"/>
                              <w:rPr>
                                <w:rFonts w:ascii="宋体" w:hAnsi="宋体"/>
                                <w:color w:val="000000"/>
                                <w:sz w:val="28"/>
                                <w:szCs w:val="28"/>
                              </w:rPr>
                            </w:pPr>
                            <w:r>
                              <w:rPr>
                                <w:rFonts w:hint="eastAsia" w:ascii="宋体" w:hAnsi="宋体"/>
                                <w:bCs/>
                                <w:color w:val="3366FF"/>
                                <w:szCs w:val="21"/>
                              </w:rPr>
                              <w:sym w:font="Wingdings" w:char="0071"/>
                            </w:r>
                            <w:r>
                              <w:rPr>
                                <w:rFonts w:hint="eastAsia" w:ascii="宋体" w:hAnsi="宋体"/>
                                <w:color w:val="000000"/>
                                <w:szCs w:val="21"/>
                              </w:rPr>
                              <w:t>系统性强。课程体系严谨，结构清晰，理论与实战相得益彰，使学员能够系统化的掌握课程的理论框架，并能结合工作中的实际情况加以灵活运用。</w:t>
                            </w:r>
                          </w:p>
                          <w:p/>
                          <w:p>
                            <w:pPr>
                              <w:spacing w:line="360" w:lineRule="auto"/>
                              <w:jc w:val="left"/>
                              <w:rPr>
                                <w:szCs w:val="21"/>
                              </w:rPr>
                            </w:pPr>
                          </w:p>
                        </w:txbxContent>
                      </wps:txbx>
                      <wps:bodyPr rot="0" vert="horz" wrap="square" lIns="91440" tIns="45720" rIns="91440" bIns="45720" anchor="t" anchorCtr="0" upright="1">
                        <a:noAutofit/>
                      </wps:bodyPr>
                    </wps:wsp>
                  </a:graphicData>
                </a:graphic>
              </wp:anchor>
            </w:drawing>
          </mc:Choice>
          <mc:Fallback>
            <w:pict>
              <v:shape id="Text Box 39" o:spid="_x0000_s1026" o:spt="202" type="#_x0000_t202" style="position:absolute;left:0pt;margin-left:-0.7pt;margin-top:19.95pt;height:154.55pt;width:405.1pt;z-index:251659264;mso-width-relative:page;mso-height-relative:page;" filled="f" stroked="f" coordsize="21600,21600" o:gfxdata="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33ymNYAAAAJAQAADwAAAAAAAAABACAAAAAiAAAAZHJzL2Rvd25yZXYueG1sUEsBAhQAFAAAAAgA&#10;h07iQBYjuhzuAQAA5wMAAA4AAAAAAAAAAQAgAAAAJQEAAGRycy9lMm9Eb2MueG1sUEsFBgAAAAAG&#10;AAYAWQEAAIUFAAAAAA==&#10;">
                <v:fill on="f" focussize="0,0"/>
                <v:stroke on="f"/>
                <v:imagedata o:title=""/>
                <o:lock v:ext="edit" aspectratio="f"/>
                <v:textbox>
                  <w:txbxContent>
                    <w:p>
                      <w:pPr>
                        <w:spacing w:line="360" w:lineRule="auto"/>
                        <w:jc w:val="left"/>
                        <w:rPr>
                          <w:rFonts w:ascii="宋体" w:hAnsi="宋体"/>
                          <w:color w:val="000000"/>
                          <w:szCs w:val="21"/>
                        </w:rPr>
                      </w:pPr>
                      <w:r>
                        <w:rPr>
                          <w:rFonts w:hint="eastAsia" w:ascii="宋体" w:hAnsi="宋体"/>
                          <w:bCs/>
                          <w:color w:val="3366FF"/>
                          <w:szCs w:val="21"/>
                        </w:rPr>
                        <w:sym w:font="Wingdings" w:char="0071"/>
                      </w:r>
                      <w:r>
                        <w:rPr>
                          <w:rFonts w:hint="eastAsia" w:ascii="宋体" w:hAnsi="宋体"/>
                          <w:color w:val="000000"/>
                          <w:szCs w:val="21"/>
                        </w:rPr>
                        <w:t>针对性强。本课程为B2B行业量身定制，培训师具有十五年B2B行业的一线销售与营销管理经验，培训紧密贴合行业特质，针对性强。</w:t>
                      </w:r>
                    </w:p>
                    <w:p>
                      <w:pPr>
                        <w:spacing w:line="360" w:lineRule="auto"/>
                        <w:jc w:val="left"/>
                        <w:rPr>
                          <w:rFonts w:ascii="宋体" w:hAnsi="宋体"/>
                          <w:color w:val="000000"/>
                          <w:szCs w:val="21"/>
                        </w:rPr>
                      </w:pPr>
                      <w:r>
                        <w:rPr>
                          <w:rFonts w:hint="eastAsia" w:ascii="宋体" w:hAnsi="宋体"/>
                          <w:bCs/>
                          <w:color w:val="3366FF"/>
                          <w:szCs w:val="21"/>
                        </w:rPr>
                        <w:sym w:font="Wingdings" w:char="0071"/>
                      </w:r>
                      <w:r>
                        <w:rPr>
                          <w:rFonts w:hint="eastAsia" w:ascii="宋体" w:hAnsi="宋体"/>
                          <w:color w:val="000000"/>
                          <w:szCs w:val="21"/>
                        </w:rPr>
                        <w:t>实战性强。课程以大量的</w:t>
                      </w:r>
                      <w:r>
                        <w:rPr>
                          <w:rFonts w:ascii="宋体" w:hAnsi="宋体"/>
                          <w:color w:val="000000"/>
                          <w:szCs w:val="21"/>
                        </w:rPr>
                        <w:t>实战案例展开讨论，结合实际</w:t>
                      </w:r>
                      <w:r>
                        <w:rPr>
                          <w:rFonts w:hint="eastAsia" w:ascii="宋体" w:hAnsi="宋体"/>
                          <w:color w:val="000000"/>
                          <w:szCs w:val="21"/>
                        </w:rPr>
                        <w:t>工作中学员经常遇到的问题讲解破题的方法</w:t>
                      </w:r>
                      <w:r>
                        <w:rPr>
                          <w:rFonts w:ascii="宋体" w:hAnsi="宋体"/>
                          <w:color w:val="000000"/>
                          <w:szCs w:val="21"/>
                        </w:rPr>
                        <w:t>，</w:t>
                      </w:r>
                      <w:r>
                        <w:rPr>
                          <w:rFonts w:hint="eastAsia" w:ascii="宋体" w:hAnsi="宋体"/>
                          <w:color w:val="000000"/>
                          <w:szCs w:val="21"/>
                        </w:rPr>
                        <w:t>很多实战的技巧和策略拿过来就可以用，实战性强</w:t>
                      </w:r>
                      <w:r>
                        <w:rPr>
                          <w:rFonts w:ascii="宋体" w:hAnsi="宋体"/>
                          <w:color w:val="000000"/>
                          <w:szCs w:val="21"/>
                        </w:rPr>
                        <w:t>。</w:t>
                      </w:r>
                    </w:p>
                    <w:p>
                      <w:pPr>
                        <w:spacing w:line="360" w:lineRule="auto"/>
                        <w:jc w:val="left"/>
                        <w:rPr>
                          <w:rFonts w:ascii="宋体" w:hAnsi="宋体"/>
                          <w:color w:val="000000"/>
                          <w:sz w:val="28"/>
                          <w:szCs w:val="28"/>
                        </w:rPr>
                      </w:pPr>
                      <w:r>
                        <w:rPr>
                          <w:rFonts w:hint="eastAsia" w:ascii="宋体" w:hAnsi="宋体"/>
                          <w:bCs/>
                          <w:color w:val="3366FF"/>
                          <w:szCs w:val="21"/>
                        </w:rPr>
                        <w:sym w:font="Wingdings" w:char="0071"/>
                      </w:r>
                      <w:r>
                        <w:rPr>
                          <w:rFonts w:hint="eastAsia" w:ascii="宋体" w:hAnsi="宋体"/>
                          <w:color w:val="000000"/>
                          <w:szCs w:val="21"/>
                        </w:rPr>
                        <w:t>系统性强。课程体系严谨，结构清晰，理论与实战相得益彰，使学员能够系统化的掌握课程的理论框架，并能结合工作中的实际情况加以灵活运用。</w:t>
                      </w:r>
                    </w:p>
                    <w:p/>
                    <w:p>
                      <w:pPr>
                        <w:spacing w:line="360" w:lineRule="auto"/>
                        <w:jc w:val="left"/>
                        <w:rPr>
                          <w:szCs w:val="21"/>
                        </w:rPr>
                      </w:pPr>
                    </w:p>
                  </w:txbxContent>
                </v:textbox>
              </v:shape>
            </w:pict>
          </mc:Fallback>
        </mc:AlternateContent>
      </w:r>
    </w:p>
    <w:p>
      <w:pPr>
        <w:spacing w:line="360" w:lineRule="auto"/>
        <w:jc w:val="left"/>
        <w:rPr>
          <w:szCs w:val="21"/>
        </w:rPr>
      </w:pPr>
    </w:p>
    <w:p>
      <w:pPr>
        <w:spacing w:line="360" w:lineRule="auto"/>
        <w:jc w:val="left"/>
        <w:rPr>
          <w:szCs w:val="21"/>
        </w:rPr>
      </w:pPr>
    </w:p>
    <w:p>
      <w:pPr>
        <w:spacing w:line="360" w:lineRule="auto"/>
        <w:jc w:val="left"/>
        <w:rPr>
          <w:szCs w:val="21"/>
        </w:rPr>
      </w:pPr>
    </w:p>
    <w:p>
      <w:pPr>
        <w:spacing w:line="360" w:lineRule="auto"/>
        <w:jc w:val="left"/>
        <w:rPr>
          <w:szCs w:val="21"/>
        </w:rPr>
      </w:pPr>
    </w:p>
    <w:p>
      <w:pPr>
        <w:spacing w:line="360" w:lineRule="auto"/>
        <w:jc w:val="left"/>
        <w:rPr>
          <w:szCs w:val="21"/>
        </w:rPr>
      </w:pPr>
    </w:p>
    <w:p>
      <w:pPr>
        <w:spacing w:line="360" w:lineRule="auto"/>
        <w:jc w:val="left"/>
        <w:rPr>
          <w:szCs w:val="21"/>
        </w:rPr>
      </w:pPr>
    </w:p>
    <w:p>
      <w:pPr>
        <w:spacing w:line="360" w:lineRule="auto"/>
        <w:jc w:val="left"/>
        <w:rPr>
          <w:szCs w:val="21"/>
        </w:rPr>
      </w:pPr>
    </w:p>
    <w:p>
      <w:pPr>
        <w:spacing w:line="360" w:lineRule="auto"/>
        <w:jc w:val="left"/>
        <w:rPr>
          <w:rFonts w:ascii="微软雅黑" w:hAnsi="微软雅黑" w:eastAsia="微软雅黑"/>
          <w:b/>
          <w:sz w:val="28"/>
          <w:szCs w:val="28"/>
        </w:rPr>
      </w:pPr>
      <w:r>
        <w:rPr>
          <w:rFonts w:hint="eastAsia" w:ascii="微软雅黑" w:hAnsi="微软雅黑" w:eastAsia="微软雅黑"/>
          <w:b/>
          <w:sz w:val="28"/>
          <w:szCs w:val="28"/>
        </w:rPr>
        <w:t>授课方式</w:t>
      </w:r>
    </w:p>
    <w:p>
      <w:pPr>
        <w:spacing w:line="360" w:lineRule="auto"/>
        <w:jc w:val="left"/>
        <w:rPr>
          <w:szCs w:val="21"/>
        </w:rPr>
      </w:pPr>
      <w:r>
        <mc:AlternateContent>
          <mc:Choice Requires="wps">
            <w:drawing>
              <wp:anchor distT="0" distB="0" distL="114300" distR="114300" simplePos="0" relativeHeight="251660288" behindDoc="0" locked="0" layoutInCell="1" allowOverlap="1">
                <wp:simplePos x="0" y="0"/>
                <wp:positionH relativeFrom="column">
                  <wp:posOffset>-60960</wp:posOffset>
                </wp:positionH>
                <wp:positionV relativeFrom="paragraph">
                  <wp:posOffset>12700</wp:posOffset>
                </wp:positionV>
                <wp:extent cx="5144770" cy="862330"/>
                <wp:effectExtent l="0" t="0" r="0" b="0"/>
                <wp:wrapNone/>
                <wp:docPr id="55" name="Text Box 38"/>
                <wp:cNvGraphicFramePr/>
                <a:graphic xmlns:a="http://schemas.openxmlformats.org/drawingml/2006/main">
                  <a:graphicData uri="http://schemas.microsoft.com/office/word/2010/wordprocessingShape">
                    <wps:wsp>
                      <wps:cNvSpPr txBox="1"/>
                      <wps:spPr bwMode="auto">
                        <a:xfrm>
                          <a:off x="0" y="0"/>
                          <a:ext cx="5144770" cy="862330"/>
                        </a:xfrm>
                        <a:prstGeom prst="rect">
                          <a:avLst/>
                        </a:prstGeom>
                        <a:noFill/>
                        <a:ln>
                          <a:noFill/>
                        </a:ln>
                      </wps:spPr>
                      <wps:txbx>
                        <w:txbxContent>
                          <w:p>
                            <w:pPr>
                              <w:spacing w:line="360" w:lineRule="auto"/>
                              <w:jc w:val="left"/>
                              <w:rPr>
                                <w:rFonts w:ascii="宋体" w:hAnsi="宋体" w:cs="宋体"/>
                                <w:color w:val="000000"/>
                                <w:szCs w:val="21"/>
                              </w:rPr>
                            </w:pPr>
                            <w:r>
                              <w:rPr>
                                <w:rFonts w:hint="eastAsia" w:ascii="宋体" w:hAnsi="宋体" w:cs="宋体"/>
                                <w:bCs/>
                                <w:color w:val="3366FF"/>
                                <w:szCs w:val="21"/>
                              </w:rPr>
                              <w:sym w:font="Wingdings" w:char="0071"/>
                            </w:r>
                            <w:r>
                              <w:rPr>
                                <w:rFonts w:hint="eastAsia" w:ascii="宋体" w:hAnsi="宋体" w:cs="宋体"/>
                                <w:color w:val="000000"/>
                                <w:szCs w:val="21"/>
                              </w:rPr>
                              <w:t>授课形式包括：通过启发式讲授 、互动式教学、小组讨论、案例分析、角色扮演、观看视频、性格测验等多种生动的培训方式，最终达到最佳的授课效果。</w:t>
                            </w:r>
                          </w:p>
                          <w:p>
                            <w:pPr>
                              <w:spacing w:line="360" w:lineRule="auto"/>
                              <w:jc w:val="left"/>
                              <w:rPr>
                                <w:szCs w:val="21"/>
                              </w:rPr>
                            </w:pPr>
                          </w:p>
                        </w:txbxContent>
                      </wps:txbx>
                      <wps:bodyPr rot="0" vert="horz" wrap="square" lIns="91440" tIns="45720" rIns="91440" bIns="45720" anchor="t" anchorCtr="0" upright="1">
                        <a:noAutofit/>
                      </wps:bodyPr>
                    </wps:wsp>
                  </a:graphicData>
                </a:graphic>
              </wp:anchor>
            </w:drawing>
          </mc:Choice>
          <mc:Fallback>
            <w:pict>
              <v:shape id="Text Box 38" o:spid="_x0000_s1026" o:spt="202" type="#_x0000_t202" style="position:absolute;left:0pt;margin-left:-4.8pt;margin-top:1pt;height:67.9pt;width:405.1pt;z-index:251660288;mso-width-relative:page;mso-height-relative:page;" filled="f" stroked="f" coordsize="21600,21600" o:gfxdata="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QX&#10;mI/VAAAACAEAAA8AAAAAAAAAAQAgAAAAIgAAAGRycy9kb3ducmV2LnhtbFBLAQIUABQAAAAIAIdO&#10;4kAHT8VT7QEAAOYDAAAOAAAAAAAAAAEAIAAAACQBAABkcnMvZTJvRG9jLnhtbFBLBQYAAAAABgAG&#10;AFkBAACDBQAAAAA=&#10;">
                <v:fill on="f" focussize="0,0"/>
                <v:stroke on="f"/>
                <v:imagedata o:title=""/>
                <o:lock v:ext="edit" aspectratio="f"/>
                <v:textbox>
                  <w:txbxContent>
                    <w:p>
                      <w:pPr>
                        <w:spacing w:line="360" w:lineRule="auto"/>
                        <w:jc w:val="left"/>
                        <w:rPr>
                          <w:rFonts w:ascii="宋体" w:hAnsi="宋体" w:cs="宋体"/>
                          <w:color w:val="000000"/>
                          <w:szCs w:val="21"/>
                        </w:rPr>
                      </w:pPr>
                      <w:r>
                        <w:rPr>
                          <w:rFonts w:hint="eastAsia" w:ascii="宋体" w:hAnsi="宋体" w:cs="宋体"/>
                          <w:bCs/>
                          <w:color w:val="3366FF"/>
                          <w:szCs w:val="21"/>
                        </w:rPr>
                        <w:sym w:font="Wingdings" w:char="0071"/>
                      </w:r>
                      <w:r>
                        <w:rPr>
                          <w:rFonts w:hint="eastAsia" w:ascii="宋体" w:hAnsi="宋体" w:cs="宋体"/>
                          <w:color w:val="000000"/>
                          <w:szCs w:val="21"/>
                        </w:rPr>
                        <w:t>授课形式包括：通过启发式讲授 、互动式教学、小组讨论、案例分析、角色扮演、观看视频、性格测验等多种生动的培训方式，最终达到最佳的授课效果。</w:t>
                      </w:r>
                    </w:p>
                    <w:p>
                      <w:pPr>
                        <w:spacing w:line="360" w:lineRule="auto"/>
                        <w:jc w:val="left"/>
                        <w:rPr>
                          <w:szCs w:val="21"/>
                        </w:rPr>
                      </w:pPr>
                    </w:p>
                  </w:txbxContent>
                </v:textbox>
              </v:shape>
            </w:pict>
          </mc:Fallback>
        </mc:AlternateContent>
      </w:r>
    </w:p>
    <w:p>
      <w:pPr>
        <w:spacing w:line="360" w:lineRule="auto"/>
        <w:jc w:val="left"/>
        <w:rPr>
          <w:rFonts w:ascii="微软雅黑" w:hAnsi="微软雅黑" w:eastAsia="微软雅黑"/>
          <w:b/>
          <w:sz w:val="28"/>
          <w:szCs w:val="28"/>
        </w:rPr>
      </w:pPr>
      <w:r>
        <w:rPr>
          <w:rFonts w:hint="eastAsia" w:ascii="微软雅黑" w:hAnsi="微软雅黑" w:eastAsia="微软雅黑"/>
          <w:b/>
          <w:sz w:val="28"/>
          <w:szCs w:val="28"/>
        </w:rPr>
        <w:t>课程大纲</w:t>
      </w:r>
    </w:p>
    <w:p>
      <w:pPr>
        <w:spacing w:line="360" w:lineRule="auto"/>
        <w:rPr>
          <w:b/>
          <w:bCs/>
        </w:rPr>
      </w:pPr>
    </w:p>
    <w:p>
      <w:pPr>
        <w:spacing w:line="360" w:lineRule="auto"/>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第一单元 品牌的基本概念</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·美国市场营销协会（AMA）对于品牌的定义</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·对于品牌定义的通俗理解：Brand（烙印）</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·产品与品牌的区别</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·品牌金字塔：理解三个层次的品牌</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·集团品牌-家族品牌-产品品牌</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·技术品牌：杜邦Reliatran变压器和海尔防电墙</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·品牌的构成的五种元素——达彼斯品牌轮盘图</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·品牌联想的树状结构</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·原产地、品牌故事、代言人等对顾客品牌认知产生的影响</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·案例：可口可乐的三个品牌故事</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·案例：Zippo（之宝）打火机的品牌故事</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·案例：博世的品牌故事</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·品牌故事的六种讲述方式</w:t>
      </w:r>
    </w:p>
    <w:p>
      <w:pPr>
        <w:spacing w:line="360" w:lineRule="auto"/>
        <w:rPr>
          <w:rFonts w:ascii="微软雅黑" w:hAnsi="微软雅黑" w:eastAsia="微软雅黑"/>
          <w:color w:val="000000" w:themeColor="text1"/>
          <w:szCs w:val="21"/>
          <w14:textFill>
            <w14:solidFill>
              <w14:schemeClr w14:val="tx1"/>
            </w14:solidFill>
          </w14:textFill>
        </w:rPr>
      </w:pPr>
    </w:p>
    <w:p>
      <w:pPr>
        <w:spacing w:line="360" w:lineRule="auto"/>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第二单元 创建品牌DNA</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·品牌DNA的结构模型-公司品牌DNA与产品品牌DNA</w:t>
      </w:r>
    </w:p>
    <w:p>
      <w:pPr>
        <w:spacing w:line="360" w:lineRule="auto"/>
        <w:rPr>
          <w:rFonts w:asciiTheme="minorEastAsia" w:hAnsiTheme="minorEastAsia"/>
          <w:b/>
          <w:color w:val="000000" w:themeColor="text1"/>
          <w:szCs w:val="21"/>
          <w:shd w:val="pct10" w:color="auto" w:fill="FFFFFF"/>
          <w14:textFill>
            <w14:solidFill>
              <w14:schemeClr w14:val="tx1"/>
            </w14:solidFill>
          </w14:textFill>
        </w:rPr>
      </w:pPr>
      <w:r>
        <w:rPr>
          <w:rFonts w:hint="eastAsia" w:asciiTheme="minorEastAsia" w:hAnsiTheme="minorEastAsia"/>
          <w:b/>
          <w:color w:val="000000" w:themeColor="text1"/>
          <w:szCs w:val="21"/>
          <w:shd w:val="pct10" w:color="auto" w:fill="FFFFFF"/>
          <w14:textFill>
            <w14:solidFill>
              <w14:schemeClr w14:val="tx1"/>
            </w14:solidFill>
          </w14:textFill>
        </w:rPr>
        <w:t>公司品牌DNA:愿景、使命、价值观</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·品牌愿景-我们想到达哪里？</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·品牌愿景标准提炼模板</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·品牌愿景的五种典型表述方式：激发愉悦、建立联系、激励探索、唤起自豪、影响社会</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·品牌使命-我们要做什么</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·品牌使命标准提炼模板（创造超越产品本身的品牌存在价值）</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·案例：耐克、星巴克的品牌使命</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·什么是公司品牌的核心价值？</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·案例：宏碁电脑的品牌核心价值</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·如何保持品牌核心价值的内部一致性：品牌BUY-IN（内部导入）</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·英国沃达丰品牌内部（Buy-in）导入案例</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·品牌个性-品牌核心价值的拟人化表现</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·案例：IBM与苹果公司的品牌个性对比</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·Jennifer Aaker品牌个性量表(BDS)</w:t>
      </w:r>
    </w:p>
    <w:p>
      <w:pPr>
        <w:spacing w:line="360" w:lineRule="auto"/>
        <w:rPr>
          <w:rFonts w:asciiTheme="minorEastAsia" w:hAnsiTheme="minorEastAsia"/>
          <w:b/>
          <w:color w:val="000000" w:themeColor="text1"/>
          <w:szCs w:val="21"/>
          <w:shd w:val="pct10" w:color="auto" w:fill="FFFFFF"/>
          <w14:textFill>
            <w14:solidFill>
              <w14:schemeClr w14:val="tx1"/>
            </w14:solidFill>
          </w14:textFill>
        </w:rPr>
      </w:pPr>
      <w:r>
        <w:rPr>
          <w:rFonts w:hint="eastAsia" w:asciiTheme="minorEastAsia" w:hAnsiTheme="minorEastAsia"/>
          <w:b/>
          <w:color w:val="000000" w:themeColor="text1"/>
          <w:szCs w:val="21"/>
          <w:shd w:val="pct10" w:color="auto" w:fill="FFFFFF"/>
          <w14:textFill>
            <w14:solidFill>
              <w14:schemeClr w14:val="tx1"/>
            </w14:solidFill>
          </w14:textFill>
        </w:rPr>
        <w:t>产品品牌DNA：目标市场（用户）定位/产品利益定位/价值主张定位</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·为什么豪华汽车品牌都能生存的不错？</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·塑造品牌差异化的两种方式是：或者第一，或者唯一</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·产品品牌定位的三要素</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·案例：全球通品牌的定位</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·不同层级的定位所产生的溢价也不同</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·案例：褚橙为何比普通冰糖橙贵6倍？</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·美国营销学家特劳特：四步品牌定位法</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·价值主张（VP）的概念</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·案例：Double A 复印纸的价值主张(slogan)</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·案例：甲骨文服务器的价值主张(slogan)</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·品牌定位的提炼工具</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·运用多维尺度分析工具（ Multidimensional Scaling，MDS ）绘制客户直觉图</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·如何传播定位：语言钉与视觉锤</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·十种典型的超级视觉锤</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·超级创意公式：超级创意=超级语言钉+超级视觉锤+超级触发器</w:t>
      </w:r>
    </w:p>
    <w:p>
      <w:pPr>
        <w:spacing w:line="360" w:lineRule="auto"/>
        <w:rPr>
          <w:rFonts w:ascii="微软雅黑" w:hAnsi="微软雅黑" w:eastAsia="微软雅黑"/>
          <w:b/>
          <w:color w:val="000000" w:themeColor="text1"/>
          <w:szCs w:val="21"/>
          <w14:textFill>
            <w14:solidFill>
              <w14:schemeClr w14:val="tx1"/>
            </w14:solidFill>
          </w14:textFill>
        </w:rPr>
      </w:pPr>
    </w:p>
    <w:p>
      <w:pPr>
        <w:spacing w:line="360" w:lineRule="auto"/>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第三单元 建立品牌识别</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·Brand-Identity-System品牌识别系统的构成：BBI/BVI/BMI</w:t>
      </w:r>
    </w:p>
    <w:p>
      <w:pPr>
        <w:spacing w:line="360" w:lineRule="auto"/>
        <w:rPr>
          <w:rFonts w:asciiTheme="minorEastAsia" w:hAnsiTheme="minorEastAsia"/>
          <w:b/>
          <w:color w:val="000000" w:themeColor="text1"/>
          <w:szCs w:val="21"/>
          <w:shd w:val="pct10" w:color="auto" w:fill="FFFFFF"/>
          <w14:textFill>
            <w14:solidFill>
              <w14:schemeClr w14:val="tx1"/>
            </w14:solidFill>
          </w14:textFill>
        </w:rPr>
      </w:pPr>
      <w:r>
        <w:rPr>
          <w:rFonts w:hint="eastAsia" w:asciiTheme="minorEastAsia" w:hAnsiTheme="minorEastAsia"/>
          <w:b/>
          <w:color w:val="000000" w:themeColor="text1"/>
          <w:szCs w:val="21"/>
          <w:shd w:val="pct10" w:color="auto" w:fill="FFFFFF"/>
          <w14:textFill>
            <w14:solidFill>
              <w14:schemeClr w14:val="tx1"/>
            </w14:solidFill>
          </w14:textFill>
        </w:rPr>
        <w:t>VI/logo/设计/包装识别</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·VI视觉识别的一致性设计：基础系统和应用系统</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·品牌基础系统-LOGO（图腾）的设计原则</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·案例：壳牌品牌标识的由来</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·案例：英国石油的六次换标</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·产品设计风格（DI）识别</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·案例：西门子、美国福禄克的设计风格识别</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·基于特殊字体、包装材料、包装形式设计的识别</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·案例：全球物流品牌DHL（敦豪）的视觉识别系统</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·工业设计的概念及其在品牌识别方面的作用</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·工业设计的三种类型</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·工业设计的评审原则</w:t>
      </w:r>
    </w:p>
    <w:p>
      <w:pPr>
        <w:spacing w:line="360" w:lineRule="auto"/>
        <w:rPr>
          <w:rFonts w:asciiTheme="minorEastAsia" w:hAnsiTheme="minorEastAsia"/>
          <w:b/>
          <w:color w:val="000000" w:themeColor="text1"/>
          <w:szCs w:val="21"/>
          <w:shd w:val="pct10" w:color="auto" w:fill="FFFFFF"/>
          <w14:textFill>
            <w14:solidFill>
              <w14:schemeClr w14:val="tx1"/>
            </w14:solidFill>
          </w14:textFill>
        </w:rPr>
      </w:pPr>
      <w:r>
        <w:rPr>
          <w:rFonts w:hint="eastAsia" w:asciiTheme="minorEastAsia" w:hAnsiTheme="minorEastAsia"/>
          <w:b/>
          <w:color w:val="000000" w:themeColor="text1"/>
          <w:szCs w:val="21"/>
          <w:shd w:val="pct10" w:color="auto" w:fill="FFFFFF"/>
          <w14:textFill>
            <w14:solidFill>
              <w14:schemeClr w14:val="tx1"/>
            </w14:solidFill>
          </w14:textFill>
        </w:rPr>
        <w:t>品牌命名</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·品牌命名的五个原则</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 xml:space="preserve">·几种典型的工业品品牌命名策略 </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·案例：英特尔的品牌命名方式分析</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·失败案例：糟糕的品牌命名</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·品牌命名的七个步骤</w:t>
      </w:r>
    </w:p>
    <w:p>
      <w:pPr>
        <w:spacing w:line="360" w:lineRule="auto"/>
        <w:rPr>
          <w:rFonts w:asciiTheme="minorEastAsia" w:hAnsiTheme="minorEastAsia"/>
          <w:color w:val="000000" w:themeColor="text1"/>
          <w:szCs w:val="21"/>
          <w14:textFill>
            <w14:solidFill>
              <w14:schemeClr w14:val="tx1"/>
            </w14:solidFill>
          </w14:textFill>
        </w:rPr>
      </w:pPr>
    </w:p>
    <w:p>
      <w:pPr>
        <w:spacing w:line="360" w:lineRule="auto"/>
        <w:rPr>
          <w:rFonts w:ascii="微软雅黑" w:hAnsi="微软雅黑" w:eastAsia="微软雅黑"/>
          <w:b/>
          <w:color w:val="000000" w:themeColor="text1"/>
          <w:szCs w:val="21"/>
          <w14:textFill>
            <w14:solidFill>
              <w14:schemeClr w14:val="tx1"/>
            </w14:solidFill>
          </w14:textFill>
        </w:rPr>
      </w:pPr>
      <w:r>
        <w:rPr>
          <w:rFonts w:hint="eastAsia" w:ascii="微软雅黑" w:hAnsi="微软雅黑" w:eastAsia="微软雅黑"/>
          <w:b/>
          <w:color w:val="000000" w:themeColor="text1"/>
          <w:szCs w:val="21"/>
          <w14:textFill>
            <w14:solidFill>
              <w14:schemeClr w14:val="tx1"/>
            </w14:solidFill>
          </w14:textFill>
        </w:rPr>
        <w:t>第四单元 品牌整合营销传播</w:t>
      </w:r>
    </w:p>
    <w:p>
      <w:pPr>
        <w:spacing w:line="360" w:lineRule="auto"/>
        <w:rPr>
          <w:rFonts w:asciiTheme="minorEastAsia" w:hAnsiTheme="minorEastAsia"/>
          <w:b/>
          <w:color w:val="000000" w:themeColor="text1"/>
          <w:szCs w:val="21"/>
          <w:shd w:val="pct10" w:color="auto" w:fill="FFFFFF"/>
          <w14:textFill>
            <w14:solidFill>
              <w14:schemeClr w14:val="tx1"/>
            </w14:solidFill>
          </w14:textFill>
        </w:rPr>
      </w:pPr>
      <w:r>
        <w:rPr>
          <w:rFonts w:hint="eastAsia" w:asciiTheme="minorEastAsia" w:hAnsiTheme="minorEastAsia"/>
          <w:b/>
          <w:color w:val="000000" w:themeColor="text1"/>
          <w:szCs w:val="21"/>
          <w:shd w:val="pct10" w:color="auto" w:fill="FFFFFF"/>
          <w14:textFill>
            <w14:solidFill>
              <w14:schemeClr w14:val="tx1"/>
            </w14:solidFill>
          </w14:textFill>
        </w:rPr>
        <w:t>年度整合营销传播计划制定</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·整合营销传播的精髓：一个声音Speak with one voice</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·整合营销传播的七个原则</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·年度整合营销传播策略制定的步骤</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·整合营销传播策略制定的3W1H原则</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·成功品牌的战略传播视野</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·年度整合传播策略制定的方法</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·市场推广费用有限的情况下的两个重要推广原则</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·案例：巴斯夫全球统一形象宣传活动</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·案例：中石油“于平凡，见非凡”传播活动</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·案例：默沙东制药七年如一日推行“贝壳行动”</w:t>
      </w:r>
    </w:p>
    <w:p>
      <w:pPr>
        <w:spacing w:line="360" w:lineRule="auto"/>
        <w:rPr>
          <w:rFonts w:asciiTheme="minorEastAsia" w:hAnsiTheme="minorEastAsia"/>
          <w:b/>
          <w:color w:val="000000" w:themeColor="text1"/>
          <w:szCs w:val="21"/>
          <w:shd w:val="pct10" w:color="auto" w:fill="FFFFFF"/>
          <w14:textFill>
            <w14:solidFill>
              <w14:schemeClr w14:val="tx1"/>
            </w14:solidFill>
          </w14:textFill>
        </w:rPr>
      </w:pPr>
      <w:r>
        <w:rPr>
          <w:rFonts w:hint="eastAsia" w:asciiTheme="minorEastAsia" w:hAnsiTheme="minorEastAsia"/>
          <w:b/>
          <w:color w:val="000000" w:themeColor="text1"/>
          <w:szCs w:val="21"/>
          <w:shd w:val="pct10" w:color="auto" w:fill="FFFFFF"/>
          <w14:textFill>
            <w14:solidFill>
              <w14:schemeClr w14:val="tx1"/>
            </w14:solidFill>
          </w14:textFill>
        </w:rPr>
        <w:t>互联网时代整合营销传播方法论</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·互联网媒体全景图</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·互联网时代的整合营销传播方法论：道+法+器</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·道：传播主题</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·法：营销方法论</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·公共关系(PR)、善因营销和事件营销</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·事件营销两种模式：借势与造势</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·案例：壳牌寻找最劲霸卡车司机活动</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·器：互联网媒体</w:t>
      </w:r>
    </w:p>
    <w:p>
      <w:pPr>
        <w:spacing w:line="360" w:lineRule="auto"/>
        <w:rPr>
          <w:rFonts w:asciiTheme="minorEastAsia" w:hAnsiTheme="minorEastAsia"/>
          <w:b/>
          <w:color w:val="000000" w:themeColor="text1"/>
          <w:szCs w:val="21"/>
          <w:shd w:val="pct10" w:color="auto" w:fill="FFFFFF"/>
          <w14:textFill>
            <w14:solidFill>
              <w14:schemeClr w14:val="tx1"/>
            </w14:solidFill>
          </w14:textFill>
        </w:rPr>
      </w:pPr>
      <w:r>
        <w:rPr>
          <w:rFonts w:hint="eastAsia" w:asciiTheme="minorEastAsia" w:hAnsiTheme="minorEastAsia"/>
          <w:b/>
          <w:color w:val="000000" w:themeColor="text1"/>
          <w:szCs w:val="21"/>
          <w:shd w:val="pct10" w:color="auto" w:fill="FFFFFF"/>
          <w14:textFill>
            <w14:solidFill>
              <w14:schemeClr w14:val="tx1"/>
            </w14:solidFill>
          </w14:textFill>
        </w:rPr>
        <w:t>典型的互联网媒体</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·社会化媒体（Social Media)的定义</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·社会化媒体时代的传播的三个特点</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·企业的社会化媒体布局</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·微信与微博的区别</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·微信公众号运营-增加订阅量或关注量六大攻略</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·如何策划一次引爆全民参与的自媒体裂变式传播活动</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·微信公众号涨粉的裂变模式</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·裂变的六个步骤和选择活动奖品的三个原则</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·助力类、抽奖类、炫耀类、社交类裂变的案例</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·抖音、小红书、B站的营销策略</w:t>
      </w:r>
    </w:p>
    <w:p>
      <w:pPr>
        <w:spacing w:line="360" w:lineRule="auto"/>
        <w:rPr>
          <w:rFonts w:asciiTheme="minorEastAsia" w:hAnsiTheme="minorEastAsia"/>
          <w:b/>
          <w:color w:val="000000" w:themeColor="text1"/>
          <w:szCs w:val="21"/>
          <w:shd w:val="pct10" w:color="auto" w:fill="FFFFFF"/>
          <w14:textFill>
            <w14:solidFill>
              <w14:schemeClr w14:val="tx1"/>
            </w14:solidFill>
          </w14:textFill>
        </w:rPr>
      </w:pPr>
      <w:r>
        <w:rPr>
          <w:rFonts w:hint="eastAsia" w:asciiTheme="minorEastAsia" w:hAnsiTheme="minorEastAsia"/>
          <w:b/>
          <w:color w:val="000000" w:themeColor="text1"/>
          <w:szCs w:val="21"/>
          <w:shd w:val="pct10" w:color="auto" w:fill="FFFFFF"/>
          <w14:textFill>
            <w14:solidFill>
              <w14:schemeClr w14:val="tx1"/>
            </w14:solidFill>
          </w14:textFill>
        </w:rPr>
        <w:t>互联网时代的创新营销模式</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·基于社会化媒体的内容营销</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·内容营销的主角：KOL(key opinion leader )关键意见领袖</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·构建“平台—传播方式”全网营销矩阵</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·案例：卡特彼勒全网营销案例</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·案例：黎明重工全网营销案例</w:t>
      </w:r>
    </w:p>
    <w:p>
      <w:pPr>
        <w:spacing w:line="360" w:lineRule="auto"/>
        <w:rPr>
          <w:rFonts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·如何将传统展会与互联网相结合</w:t>
      </w:r>
    </w:p>
    <w:p>
      <w:pPr>
        <w:spacing w:line="360" w:lineRule="auto"/>
        <w:rPr>
          <w:rFonts w:asciiTheme="minorEastAsia" w:hAnsiTheme="minorEastAsia"/>
          <w:szCs w:val="21"/>
        </w:rPr>
      </w:pPr>
      <w:r>
        <w:rPr>
          <w:rFonts w:hint="eastAsia" w:asciiTheme="minorEastAsia" w:hAnsiTheme="minorEastAsia"/>
          <w:color w:val="000000" w:themeColor="text1"/>
          <w:szCs w:val="21"/>
          <w14:textFill>
            <w14:solidFill>
              <w14:schemeClr w14:val="tx1"/>
            </w14:solidFill>
          </w14:textFill>
        </w:rPr>
        <w:t>·案例：克莱斯勒广州汽车展整合传播案</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Wingdings">
    <w:panose1 w:val="05000000000000000000"/>
    <w:charset w:val="00"/>
    <w:family w:val="decorative"/>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307956"/>
    <w:multiLevelType w:val="multilevel"/>
    <w:tmpl w:val="2B30795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RmMTNlNmNiYThmYmFhNTE3ZjQyMmUzNzU2NDdhMWYifQ=="/>
  </w:docVars>
  <w:rsids>
    <w:rsidRoot w:val="005032F9"/>
    <w:rsid w:val="005032F9"/>
    <w:rsid w:val="00EB4FAE"/>
    <w:rsid w:val="6D486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2008</Words>
  <Characters>2241</Characters>
  <Lines>17</Lines>
  <Paragraphs>4</Paragraphs>
  <TotalTime>0</TotalTime>
  <ScaleCrop>false</ScaleCrop>
  <LinksUpToDate>false</LinksUpToDate>
  <CharactersWithSpaces>2261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2022-11-09T06:17:00Z</dcterms:created>
  <dc:creator>Microsoft Office User</dc:creator>
  <cp:lastModifiedBy>xue</cp:lastModifiedBy>
  <dcterms:modified xsi:type="dcterms:W3CDTF">2023-01-31T01:20:52Z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94B4882DF46E4CE1A978F2C857842B9A</vt:lpwstr>
  </property>
</Properties>
</file>