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14315" w14:textId="77777777" w:rsidR="006E07B0" w:rsidRDefault="006E07B0" w:rsidP="006E07B0">
      <w:pPr>
        <w:spacing w:line="312" w:lineRule="auto"/>
        <w:rPr>
          <w:rFonts w:ascii="宋体" w:eastAsia="宋体" w:hAnsi="宋体" w:cs="Times New Roman"/>
          <w:bCs/>
          <w:szCs w:val="21"/>
        </w:rPr>
      </w:pPr>
    </w:p>
    <w:p w14:paraId="72F760BB" w14:textId="77777777" w:rsidR="006E07B0" w:rsidRPr="00E564BC" w:rsidRDefault="006E07B0" w:rsidP="006E07B0">
      <w:pPr>
        <w:spacing w:line="312" w:lineRule="auto"/>
        <w:rPr>
          <w:rFonts w:ascii="宋体" w:eastAsia="宋体" w:hAnsi="宋体" w:cs="Times New Roman"/>
          <w:bCs/>
          <w:szCs w:val="21"/>
        </w:rPr>
      </w:pPr>
    </w:p>
    <w:p w14:paraId="1746D98D" w14:textId="77777777" w:rsidR="006E07B0" w:rsidRDefault="006E07B0" w:rsidP="006E07B0">
      <w:pPr>
        <w:jc w:val="left"/>
      </w:pPr>
      <w:r>
        <w:rPr>
          <w:noProof/>
        </w:rPr>
        <mc:AlternateContent>
          <mc:Choice Requires="wps">
            <w:drawing>
              <wp:anchor distT="0" distB="0" distL="114300" distR="114300" simplePos="0" relativeHeight="251661312" behindDoc="0" locked="0" layoutInCell="1" allowOverlap="1" wp14:anchorId="22700E69" wp14:editId="3FE58911">
                <wp:simplePos x="0" y="0"/>
                <wp:positionH relativeFrom="column">
                  <wp:posOffset>-1037590</wp:posOffset>
                </wp:positionH>
                <wp:positionV relativeFrom="paragraph">
                  <wp:posOffset>119380</wp:posOffset>
                </wp:positionV>
                <wp:extent cx="6907530" cy="883285"/>
                <wp:effectExtent l="0" t="0" r="0" b="0"/>
                <wp:wrapNone/>
                <wp:docPr id="7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CFE60B" w14:textId="77777777" w:rsidR="006E07B0" w:rsidRPr="004D4BEE" w:rsidRDefault="006E07B0" w:rsidP="006E07B0">
                            <w:pPr>
                              <w:ind w:firstLineChars="550" w:firstLine="1650"/>
                              <w:rPr>
                                <w:rFonts w:ascii="微软雅黑" w:eastAsia="微软雅黑" w:hAnsi="微软雅黑" w:cs="宋体"/>
                                <w:color w:val="000000" w:themeColor="text1"/>
                                <w:kern w:val="0"/>
                                <w:sz w:val="30"/>
                                <w:szCs w:val="30"/>
                              </w:rPr>
                            </w:pPr>
                            <w:r w:rsidRPr="004D4BEE">
                              <w:rPr>
                                <w:rFonts w:ascii="微软雅黑" w:eastAsia="微软雅黑" w:hAnsi="微软雅黑" w:cs="宋体" w:hint="eastAsia"/>
                                <w:color w:val="000000" w:themeColor="text1"/>
                                <w:kern w:val="0"/>
                                <w:sz w:val="30"/>
                                <w:szCs w:val="30"/>
                              </w:rPr>
                              <w:t>D001工业品（</w:t>
                            </w:r>
                            <w:proofErr w:type="spellStart"/>
                            <w:r w:rsidRPr="004D4BEE">
                              <w:rPr>
                                <w:rFonts w:ascii="微软雅黑" w:eastAsia="微软雅黑" w:hAnsi="微软雅黑" w:cs="宋体" w:hint="eastAsia"/>
                                <w:color w:val="000000" w:themeColor="text1"/>
                                <w:kern w:val="0"/>
                                <w:sz w:val="30"/>
                                <w:szCs w:val="30"/>
                              </w:rPr>
                              <w:t>BtoB</w:t>
                            </w:r>
                            <w:proofErr w:type="spellEnd"/>
                            <w:r w:rsidRPr="004D4BEE">
                              <w:rPr>
                                <w:rFonts w:ascii="微软雅黑" w:eastAsia="微软雅黑" w:hAnsi="微软雅黑" w:cs="宋体" w:hint="eastAsia"/>
                                <w:color w:val="000000" w:themeColor="text1"/>
                                <w:kern w:val="0"/>
                                <w:sz w:val="30"/>
                                <w:szCs w:val="30"/>
                              </w:rPr>
                              <w:t>）企业营销战略规划新思维</w:t>
                            </w:r>
                            <w:r w:rsidRPr="004D4BEE">
                              <w:rPr>
                                <w:rFonts w:ascii="微软雅黑" w:eastAsia="微软雅黑" w:hAnsi="微软雅黑" w:hint="eastAsia"/>
                                <w:bCs/>
                                <w:color w:val="000000" w:themeColor="text1"/>
                                <w:sz w:val="30"/>
                                <w:szCs w:val="30"/>
                              </w:rPr>
                              <w:t>（1-2天）</w:t>
                            </w:r>
                          </w:p>
                          <w:p w14:paraId="0EB9072B" w14:textId="77777777" w:rsidR="006E07B0" w:rsidRPr="00A81BA6" w:rsidRDefault="006E07B0" w:rsidP="006E07B0">
                            <w:pPr>
                              <w:rPr>
                                <w:rFonts w:ascii="黑体" w:eastAsia="黑体" w:hAnsi="宋体"/>
                                <w:b/>
                                <w:sz w:val="30"/>
                                <w:szCs w:val="30"/>
                              </w:rPr>
                            </w:pPr>
                          </w:p>
                          <w:p w14:paraId="6B54C7EC" w14:textId="77777777" w:rsidR="006E07B0" w:rsidRDefault="006E07B0" w:rsidP="006E07B0">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700E69" id="_x0000_t202" coordsize="21600,21600" o:spt="202" path="m,l,21600r21600,l21600,xe">
                <v:stroke joinstyle="miter"/>
                <v:path gradientshapeok="t" o:connecttype="rect"/>
              </v:shapetype>
              <v:shape id="Text Box 53" o:spid="_x0000_s1026" type="#_x0000_t202" style="position:absolute;margin-left:-81.7pt;margin-top:9.4pt;width:543.9pt;height:6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" filled="f" stroked="f">
                <v:path arrowok="t"/>
                <v:textbox>
                  <w:txbxContent>
                    <w:p w14:paraId="3CCFE60B" w14:textId="77777777" w:rsidR="006E07B0" w:rsidRPr="004D4BEE" w:rsidRDefault="006E07B0" w:rsidP="006E07B0">
                      <w:pPr>
                        <w:ind w:firstLineChars="550" w:firstLine="1650"/>
                        <w:rPr>
                          <w:rFonts w:ascii="微软雅黑" w:eastAsia="微软雅黑" w:hAnsi="微软雅黑" w:cs="宋体"/>
                          <w:color w:val="000000" w:themeColor="text1"/>
                          <w:kern w:val="0"/>
                          <w:sz w:val="30"/>
                          <w:szCs w:val="30"/>
                        </w:rPr>
                      </w:pPr>
                      <w:r w:rsidRPr="004D4BEE">
                        <w:rPr>
                          <w:rFonts w:ascii="微软雅黑" w:eastAsia="微软雅黑" w:hAnsi="微软雅黑" w:cs="宋体" w:hint="eastAsia"/>
                          <w:color w:val="000000" w:themeColor="text1"/>
                          <w:kern w:val="0"/>
                          <w:sz w:val="30"/>
                          <w:szCs w:val="30"/>
                        </w:rPr>
                        <w:t>D001工业品（</w:t>
                      </w:r>
                      <w:proofErr w:type="spellStart"/>
                      <w:r w:rsidRPr="004D4BEE">
                        <w:rPr>
                          <w:rFonts w:ascii="微软雅黑" w:eastAsia="微软雅黑" w:hAnsi="微软雅黑" w:cs="宋体" w:hint="eastAsia"/>
                          <w:color w:val="000000" w:themeColor="text1"/>
                          <w:kern w:val="0"/>
                          <w:sz w:val="30"/>
                          <w:szCs w:val="30"/>
                        </w:rPr>
                        <w:t>BtoB</w:t>
                      </w:r>
                      <w:proofErr w:type="spellEnd"/>
                      <w:r w:rsidRPr="004D4BEE">
                        <w:rPr>
                          <w:rFonts w:ascii="微软雅黑" w:eastAsia="微软雅黑" w:hAnsi="微软雅黑" w:cs="宋体" w:hint="eastAsia"/>
                          <w:color w:val="000000" w:themeColor="text1"/>
                          <w:kern w:val="0"/>
                          <w:sz w:val="30"/>
                          <w:szCs w:val="30"/>
                        </w:rPr>
                        <w:t>）企业营销战略规划新思维</w:t>
                      </w:r>
                      <w:r w:rsidRPr="004D4BEE">
                        <w:rPr>
                          <w:rFonts w:ascii="微软雅黑" w:eastAsia="微软雅黑" w:hAnsi="微软雅黑" w:hint="eastAsia"/>
                          <w:bCs/>
                          <w:color w:val="000000" w:themeColor="text1"/>
                          <w:sz w:val="30"/>
                          <w:szCs w:val="30"/>
                        </w:rPr>
                        <w:t>（1-2天）</w:t>
                      </w:r>
                    </w:p>
                    <w:p w14:paraId="0EB9072B" w14:textId="77777777" w:rsidR="006E07B0" w:rsidRPr="00A81BA6" w:rsidRDefault="006E07B0" w:rsidP="006E07B0">
                      <w:pPr>
                        <w:rPr>
                          <w:rFonts w:ascii="黑体" w:eastAsia="黑体" w:hAnsi="宋体"/>
                          <w:b/>
                          <w:sz w:val="30"/>
                          <w:szCs w:val="30"/>
                        </w:rPr>
                      </w:pPr>
                    </w:p>
                    <w:p w14:paraId="6B54C7EC" w14:textId="77777777" w:rsidR="006E07B0" w:rsidRDefault="006E07B0" w:rsidP="006E07B0">
                      <w:pPr>
                        <w:rPr>
                          <w:rFonts w:ascii="黑体" w:eastAsia="黑体" w:hAnsi="宋体"/>
                          <w:b/>
                          <w:sz w:val="30"/>
                          <w:szCs w:val="30"/>
                        </w:rPr>
                      </w:pPr>
                    </w:p>
                  </w:txbxContent>
                </v:textbox>
              </v:shape>
            </w:pict>
          </mc:Fallback>
        </mc:AlternateContent>
      </w:r>
    </w:p>
    <w:p w14:paraId="1414B431" w14:textId="77777777" w:rsidR="006E07B0" w:rsidRDefault="006E07B0" w:rsidP="006E07B0">
      <w:pPr>
        <w:jc w:val="left"/>
      </w:pPr>
    </w:p>
    <w:p w14:paraId="79517797" w14:textId="77777777" w:rsidR="006E07B0" w:rsidRDefault="006E07B0" w:rsidP="006E07B0">
      <w:pPr>
        <w:jc w:val="left"/>
      </w:pPr>
    </w:p>
    <w:p w14:paraId="4565DA1C" w14:textId="77777777" w:rsidR="006E07B0" w:rsidRDefault="006E07B0" w:rsidP="006E07B0">
      <w:pPr>
        <w:jc w:val="left"/>
      </w:pPr>
    </w:p>
    <w:p w14:paraId="6F6D408E" w14:textId="77777777" w:rsidR="006E07B0" w:rsidRDefault="006E07B0" w:rsidP="006E07B0">
      <w:pPr>
        <w:jc w:val="left"/>
      </w:pPr>
    </w:p>
    <w:p w14:paraId="4D52865D" w14:textId="77777777" w:rsidR="006E07B0" w:rsidRDefault="006E07B0" w:rsidP="006E07B0">
      <w:pPr>
        <w:jc w:val="left"/>
      </w:pPr>
      <w:r w:rsidRPr="00275BAA">
        <w:rPr>
          <w:noProof/>
        </w:rPr>
        <w:drawing>
          <wp:inline distT="0" distB="0" distL="0" distR="0" wp14:anchorId="63C8307C" wp14:editId="11F8E0B0">
            <wp:extent cx="5274310" cy="3558108"/>
            <wp:effectExtent l="19050" t="0" r="2540" b="0"/>
            <wp:docPr id="121"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5"/>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71F98482" w14:textId="77777777" w:rsidR="006E07B0" w:rsidRDefault="006E07B0" w:rsidP="006E07B0">
      <w:pPr>
        <w:jc w:val="left"/>
      </w:pPr>
    </w:p>
    <w:p w14:paraId="0C5D708E" w14:textId="77777777" w:rsidR="006E07B0" w:rsidRDefault="006E07B0" w:rsidP="006E07B0">
      <w:pPr>
        <w:jc w:val="left"/>
      </w:pPr>
    </w:p>
    <w:p w14:paraId="77B3BED7" w14:textId="77777777" w:rsidR="006E07B0" w:rsidRDefault="006E07B0" w:rsidP="006E07B0">
      <w:pPr>
        <w:jc w:val="left"/>
      </w:pPr>
    </w:p>
    <w:p w14:paraId="45AD3458" w14:textId="77777777" w:rsidR="006E07B0" w:rsidRDefault="006E07B0" w:rsidP="006E07B0">
      <w:pPr>
        <w:jc w:val="left"/>
      </w:pPr>
      <w:r>
        <w:rPr>
          <w:noProof/>
        </w:rPr>
        <mc:AlternateContent>
          <mc:Choice Requires="wps">
            <w:drawing>
              <wp:anchor distT="0" distB="0" distL="114300" distR="114300" simplePos="0" relativeHeight="251662336" behindDoc="0" locked="0" layoutInCell="1" allowOverlap="1" wp14:anchorId="13D07909" wp14:editId="3FC0117B">
                <wp:simplePos x="0" y="0"/>
                <wp:positionH relativeFrom="column">
                  <wp:posOffset>370840</wp:posOffset>
                </wp:positionH>
                <wp:positionV relativeFrom="paragraph">
                  <wp:posOffset>48895</wp:posOffset>
                </wp:positionV>
                <wp:extent cx="4800600" cy="532765"/>
                <wp:effectExtent l="0" t="0" r="0" b="0"/>
                <wp:wrapNone/>
                <wp:docPr id="69"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73CEBB" w14:textId="77777777" w:rsidR="006E07B0" w:rsidRPr="002F62B3" w:rsidRDefault="006E07B0" w:rsidP="006E07B0">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D07909" id="Text Box 52" o:spid="_x0000_s1027" type="#_x0000_t202" style="position:absolute;margin-left:29.2pt;margin-top:3.85pt;width:378pt;height:4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udPM&#13;&#10;leAAAAAMAQAADwAAAAAAAAAAAAAAAAAtBAAAZHJzL2Rvd25yZXYueG1sUEsFBgAAAAAEAAQA8wAA&#13;&#10;ADoFAAAAAA==&#13;&#10;" filled="f" stroked="f">
                <v:path arrowok="t"/>
                <v:textbox>
                  <w:txbxContent>
                    <w:p w14:paraId="7C73CEBB" w14:textId="77777777" w:rsidR="006E07B0" w:rsidRPr="002F62B3" w:rsidRDefault="006E07B0" w:rsidP="006E07B0">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20BDDFB9" w14:textId="77777777" w:rsidR="006E07B0" w:rsidRDefault="006E07B0" w:rsidP="006E07B0">
      <w:pPr>
        <w:jc w:val="left"/>
      </w:pPr>
    </w:p>
    <w:p w14:paraId="2F3C8830" w14:textId="77777777" w:rsidR="006E07B0" w:rsidRDefault="006E07B0" w:rsidP="006E07B0">
      <w:pPr>
        <w:jc w:val="left"/>
      </w:pPr>
    </w:p>
    <w:p w14:paraId="404153F5" w14:textId="77777777" w:rsidR="006E07B0" w:rsidRDefault="006E07B0" w:rsidP="006E07B0">
      <w:pPr>
        <w:jc w:val="left"/>
      </w:pPr>
    </w:p>
    <w:p w14:paraId="253EB286" w14:textId="77777777" w:rsidR="006E07B0" w:rsidRDefault="006E07B0" w:rsidP="006E07B0">
      <w:pPr>
        <w:jc w:val="left"/>
      </w:pPr>
    </w:p>
    <w:p w14:paraId="71539452" w14:textId="77777777" w:rsidR="006E07B0" w:rsidRDefault="006E07B0" w:rsidP="006E07B0">
      <w:pPr>
        <w:jc w:val="left"/>
      </w:pPr>
    </w:p>
    <w:p w14:paraId="2E6DFF3B" w14:textId="77777777" w:rsidR="006E07B0" w:rsidRDefault="006E07B0" w:rsidP="006E07B0">
      <w:pPr>
        <w:jc w:val="left"/>
      </w:pPr>
    </w:p>
    <w:p w14:paraId="4CE55492" w14:textId="77777777" w:rsidR="006E07B0" w:rsidRDefault="006E07B0" w:rsidP="006E07B0">
      <w:pPr>
        <w:jc w:val="left"/>
      </w:pPr>
    </w:p>
    <w:p w14:paraId="14EA5296" w14:textId="77777777" w:rsidR="006E07B0" w:rsidRDefault="006E07B0" w:rsidP="006E07B0">
      <w:pPr>
        <w:jc w:val="left"/>
      </w:pPr>
    </w:p>
    <w:p w14:paraId="7C6F0D65" w14:textId="77777777" w:rsidR="006E07B0" w:rsidRDefault="006E07B0" w:rsidP="006E07B0">
      <w:pPr>
        <w:jc w:val="left"/>
      </w:pPr>
    </w:p>
    <w:p w14:paraId="4B61D1C7" w14:textId="77777777" w:rsidR="006E07B0" w:rsidRDefault="006E07B0" w:rsidP="006E07B0">
      <w:pPr>
        <w:jc w:val="left"/>
      </w:pPr>
    </w:p>
    <w:p w14:paraId="02B9A354" w14:textId="77777777" w:rsidR="006E07B0" w:rsidRDefault="006E07B0" w:rsidP="006E07B0">
      <w:pPr>
        <w:jc w:val="left"/>
      </w:pPr>
    </w:p>
    <w:p w14:paraId="26BB6D70" w14:textId="77777777" w:rsidR="006E07B0" w:rsidRDefault="006E07B0" w:rsidP="006E07B0">
      <w:pPr>
        <w:jc w:val="left"/>
      </w:pPr>
    </w:p>
    <w:p w14:paraId="7F6223B3" w14:textId="77777777" w:rsidR="006E07B0" w:rsidRDefault="006E07B0" w:rsidP="006E07B0">
      <w:pPr>
        <w:jc w:val="left"/>
      </w:pPr>
    </w:p>
    <w:p w14:paraId="73007BD7" w14:textId="77777777" w:rsidR="006E07B0" w:rsidRDefault="006E07B0" w:rsidP="006E07B0">
      <w:pPr>
        <w:jc w:val="left"/>
      </w:pPr>
    </w:p>
    <w:p w14:paraId="749BE402" w14:textId="77777777" w:rsidR="006E07B0" w:rsidRDefault="006E07B0" w:rsidP="006E07B0">
      <w:pPr>
        <w:spacing w:line="360" w:lineRule="auto"/>
        <w:rPr>
          <w:rFonts w:ascii="微软雅黑" w:eastAsia="微软雅黑" w:hAnsi="微软雅黑"/>
          <w:b/>
          <w:sz w:val="28"/>
          <w:szCs w:val="28"/>
        </w:rPr>
      </w:pPr>
      <w:r w:rsidRPr="00330C8A">
        <w:rPr>
          <w:rFonts w:ascii="微软雅黑" w:eastAsia="微软雅黑" w:hAnsi="微软雅黑"/>
          <w:b/>
          <w:sz w:val="28"/>
          <w:szCs w:val="28"/>
        </w:rPr>
        <w:lastRenderedPageBreak/>
        <w:t>课程背景</w:t>
      </w:r>
    </w:p>
    <w:p w14:paraId="1B871924" w14:textId="77777777" w:rsidR="006E07B0" w:rsidRPr="000D2FB3" w:rsidRDefault="006E07B0" w:rsidP="006E07B0">
      <w:pPr>
        <w:spacing w:line="360" w:lineRule="auto"/>
        <w:rPr>
          <w:rFonts w:ascii="微软雅黑" w:eastAsia="微软雅黑" w:hAnsi="微软雅黑"/>
          <w:b/>
          <w:sz w:val="28"/>
          <w:szCs w:val="28"/>
        </w:rPr>
      </w:pPr>
      <w:r>
        <w:rPr>
          <w:rFonts w:ascii="宋体" w:hAnsi="宋体" w:hint="eastAsia"/>
          <w:szCs w:val="21"/>
        </w:rPr>
        <w:t>营销战略规划是企业的重要职能战略之一，企业所面临的很多看似无解的问题，都可以归结为战略短视、战略失误或战略缺失的问题。</w:t>
      </w:r>
    </w:p>
    <w:p w14:paraId="28DC29A9" w14:textId="77777777" w:rsidR="006E07B0" w:rsidRDefault="006E07B0" w:rsidP="006E07B0">
      <w:pPr>
        <w:spacing w:line="360" w:lineRule="auto"/>
        <w:rPr>
          <w:rFonts w:ascii="宋体" w:hAnsi="宋体"/>
          <w:szCs w:val="21"/>
        </w:rPr>
      </w:pPr>
    </w:p>
    <w:p w14:paraId="2136F8FC" w14:textId="77777777" w:rsidR="006E07B0" w:rsidRDefault="006E07B0" w:rsidP="006E07B0">
      <w:pPr>
        <w:spacing w:line="360" w:lineRule="auto"/>
        <w:rPr>
          <w:rFonts w:ascii="宋体" w:hAnsi="宋体"/>
          <w:szCs w:val="21"/>
        </w:rPr>
      </w:pPr>
      <w:r>
        <w:rPr>
          <w:rFonts w:ascii="宋体" w:hAnsi="宋体" w:hint="eastAsia"/>
          <w:szCs w:val="21"/>
        </w:rPr>
        <w:t>最近</w:t>
      </w:r>
      <w:r>
        <w:rPr>
          <w:rFonts w:ascii="宋体" w:hAnsi="宋体" w:hint="eastAsia"/>
          <w:szCs w:val="21"/>
        </w:rPr>
        <w:t>20</w:t>
      </w:r>
      <w:r>
        <w:rPr>
          <w:rFonts w:ascii="宋体" w:hAnsi="宋体" w:hint="eastAsia"/>
          <w:szCs w:val="21"/>
        </w:rPr>
        <w:t>年以来，我们</w:t>
      </w:r>
      <w:r w:rsidRPr="00C22E7A">
        <w:rPr>
          <w:rFonts w:ascii="宋体" w:hAnsi="宋体" w:hint="eastAsia"/>
          <w:szCs w:val="21"/>
        </w:rPr>
        <w:t>称之为</w:t>
      </w:r>
      <w:r w:rsidRPr="00C22E7A">
        <w:rPr>
          <w:rFonts w:ascii="宋体" w:hAnsi="宋体" w:hint="eastAsia"/>
          <w:szCs w:val="21"/>
        </w:rPr>
        <w:t>VUCA(</w:t>
      </w:r>
      <w:r>
        <w:rPr>
          <w:rFonts w:ascii="宋体" w:hAnsi="宋体" w:hint="eastAsia"/>
          <w:szCs w:val="21"/>
        </w:rPr>
        <w:t>V</w:t>
      </w:r>
      <w:r w:rsidRPr="00C22E7A">
        <w:rPr>
          <w:rFonts w:ascii="宋体" w:hAnsi="宋体" w:hint="eastAsia"/>
          <w:szCs w:val="21"/>
        </w:rPr>
        <w:t>olatile/</w:t>
      </w:r>
      <w:r>
        <w:rPr>
          <w:rFonts w:ascii="宋体" w:hAnsi="宋体" w:hint="eastAsia"/>
          <w:szCs w:val="21"/>
        </w:rPr>
        <w:t>U</w:t>
      </w:r>
      <w:r w:rsidRPr="00C22E7A">
        <w:rPr>
          <w:rFonts w:ascii="宋体" w:hAnsi="宋体" w:hint="eastAsia"/>
          <w:szCs w:val="21"/>
        </w:rPr>
        <w:t>ncertain/</w:t>
      </w:r>
      <w:r>
        <w:rPr>
          <w:rFonts w:ascii="宋体" w:hAnsi="宋体" w:hint="eastAsia"/>
          <w:szCs w:val="21"/>
        </w:rPr>
        <w:t>C</w:t>
      </w:r>
      <w:r w:rsidRPr="00C22E7A">
        <w:rPr>
          <w:rFonts w:ascii="宋体" w:hAnsi="宋体" w:hint="eastAsia"/>
          <w:szCs w:val="21"/>
        </w:rPr>
        <w:t>omplex/</w:t>
      </w:r>
      <w:r>
        <w:rPr>
          <w:rFonts w:ascii="宋体" w:hAnsi="宋体" w:hint="eastAsia"/>
          <w:szCs w:val="21"/>
        </w:rPr>
        <w:t>A</w:t>
      </w:r>
      <w:r w:rsidRPr="00C22E7A">
        <w:rPr>
          <w:rFonts w:ascii="宋体" w:hAnsi="宋体" w:hint="eastAsia"/>
          <w:szCs w:val="21"/>
        </w:rPr>
        <w:t>mbiguous)</w:t>
      </w:r>
      <w:r w:rsidRPr="00C22E7A">
        <w:rPr>
          <w:rFonts w:ascii="宋体" w:hAnsi="宋体" w:hint="eastAsia"/>
          <w:szCs w:val="21"/>
        </w:rPr>
        <w:t>世界：</w:t>
      </w:r>
      <w:r>
        <w:rPr>
          <w:rFonts w:ascii="宋体" w:hAnsi="宋体" w:hint="eastAsia"/>
          <w:szCs w:val="21"/>
        </w:rPr>
        <w:t>市场环境</w:t>
      </w:r>
      <w:r w:rsidRPr="00C22E7A">
        <w:rPr>
          <w:rFonts w:ascii="宋体" w:hAnsi="宋体" w:hint="eastAsia"/>
          <w:szCs w:val="21"/>
        </w:rPr>
        <w:t>动荡、无常、复杂、模糊</w:t>
      </w:r>
      <w:r>
        <w:rPr>
          <w:rFonts w:ascii="宋体" w:hAnsi="宋体" w:hint="eastAsia"/>
          <w:szCs w:val="21"/>
        </w:rPr>
        <w:t>，产品生命周期越来越短、跨界颠覆越来越多、技术与信息整合速度越来越快、市场越来越难以捉摸和预测</w:t>
      </w:r>
      <w:r w:rsidRPr="00C22E7A">
        <w:rPr>
          <w:rFonts w:ascii="宋体" w:hAnsi="宋体" w:hint="eastAsia"/>
          <w:szCs w:val="21"/>
        </w:rPr>
        <w:t>。</w:t>
      </w:r>
      <w:r>
        <w:rPr>
          <w:rFonts w:ascii="宋体" w:hAnsi="宋体" w:hint="eastAsia"/>
          <w:szCs w:val="21"/>
        </w:rPr>
        <w:t>面对这样的市场环境，企业的营销战略思维必须要随之而调整，比如缩短战略制定的周期，提升战略的灵活性、重视项目制管理与突击小分队的作用、产品快速迭</w:t>
      </w:r>
      <w:r>
        <w:rPr>
          <w:rFonts w:ascii="宋体" w:hAnsi="宋体" w:hint="eastAsia"/>
          <w:szCs w:val="21"/>
        </w:rPr>
        <w:t>.</w:t>
      </w:r>
    </w:p>
    <w:p w14:paraId="54FAA50D" w14:textId="77777777" w:rsidR="006E07B0" w:rsidRDefault="006E07B0" w:rsidP="006E07B0">
      <w:pPr>
        <w:spacing w:line="360" w:lineRule="auto"/>
        <w:rPr>
          <w:rFonts w:ascii="宋体" w:hAnsi="宋体"/>
          <w:szCs w:val="21"/>
        </w:rPr>
      </w:pPr>
    </w:p>
    <w:p w14:paraId="2E9AC4D5" w14:textId="77777777" w:rsidR="006E07B0" w:rsidRDefault="006E07B0" w:rsidP="006E07B0">
      <w:pPr>
        <w:spacing w:line="360" w:lineRule="auto"/>
        <w:rPr>
          <w:rFonts w:ascii="宋体" w:hAnsi="宋体"/>
          <w:szCs w:val="21"/>
        </w:rPr>
      </w:pPr>
      <w:r>
        <w:rPr>
          <w:rFonts w:ascii="宋体" w:hAnsi="宋体" w:hint="eastAsia"/>
          <w:szCs w:val="21"/>
        </w:rPr>
        <w:t>本课程专门针对在企业中从事战略规划与决策的营销高管或市场经理设置，旨在全面提升相关人员在</w:t>
      </w:r>
      <w:r>
        <w:rPr>
          <w:rFonts w:ascii="宋体" w:hAnsi="宋体" w:hint="eastAsia"/>
          <w:szCs w:val="21"/>
        </w:rPr>
        <w:t>VUCA</w:t>
      </w:r>
      <w:r>
        <w:rPr>
          <w:rFonts w:ascii="宋体" w:hAnsi="宋体" w:hint="eastAsia"/>
          <w:szCs w:val="21"/>
        </w:rPr>
        <w:t>时代的营销战略管理水平和市场营销规划能力，从而能够使其站在战略的高度，运用科学的工具和方法解决企业营销管理过程中所面临的诸多困惑和问题，最终达成战略目标。</w:t>
      </w:r>
    </w:p>
    <w:p w14:paraId="027DE272" w14:textId="77777777" w:rsidR="006E07B0" w:rsidRDefault="006E07B0" w:rsidP="006E07B0">
      <w:pPr>
        <w:spacing w:line="360" w:lineRule="auto"/>
        <w:rPr>
          <w:rFonts w:ascii="宋体" w:hAnsi="宋体"/>
          <w:szCs w:val="21"/>
        </w:rPr>
      </w:pPr>
    </w:p>
    <w:p w14:paraId="3264D255" w14:textId="77777777" w:rsidR="006E07B0" w:rsidRDefault="006E07B0" w:rsidP="006E07B0">
      <w:pPr>
        <w:spacing w:line="360" w:lineRule="auto"/>
        <w:rPr>
          <w:rFonts w:ascii="Arial" w:hAnsi="Arial" w:cs="Arial"/>
          <w:color w:val="000000"/>
          <w:szCs w:val="21"/>
        </w:rPr>
      </w:pPr>
      <w:r>
        <w:rPr>
          <w:rFonts w:ascii="宋体" w:hAnsi="宋体" w:hint="eastAsia"/>
          <w:szCs w:val="21"/>
        </w:rPr>
        <w:t>本课程以营销战略规划路线图为主线，围绕市场分析与调研、市场细分与目标市场选择、细分市场需求预测、细分市场竞争定位、</w:t>
      </w:r>
      <w:r>
        <w:rPr>
          <w:rFonts w:ascii="宋体" w:hAnsi="宋体" w:hint="eastAsia"/>
          <w:szCs w:val="21"/>
        </w:rPr>
        <w:t>4P+C(</w:t>
      </w:r>
      <w:r>
        <w:rPr>
          <w:rFonts w:ascii="宋体" w:hAnsi="宋体" w:hint="eastAsia"/>
          <w:szCs w:val="21"/>
        </w:rPr>
        <w:t>客户关系管理</w:t>
      </w:r>
      <w:r>
        <w:rPr>
          <w:rFonts w:ascii="宋体" w:hAnsi="宋体" w:hint="eastAsia"/>
          <w:szCs w:val="21"/>
        </w:rPr>
        <w:t>)</w:t>
      </w:r>
      <w:r>
        <w:rPr>
          <w:rFonts w:ascii="宋体" w:hAnsi="宋体" w:hint="eastAsia"/>
          <w:szCs w:val="21"/>
        </w:rPr>
        <w:t>营销组合决策（产品策略、推广策略、渠道策略、价格策略、客户关系策略）、营销组织设计、营销目标计划与营销预算等七个方面为学员提供系统化的营销战略思维的框架和营销规划的工具，使</w:t>
      </w:r>
      <w:r>
        <w:rPr>
          <w:rFonts w:ascii="Arial" w:hAnsi="Arial" w:cs="Arial" w:hint="eastAsia"/>
          <w:color w:val="000000"/>
          <w:szCs w:val="21"/>
        </w:rPr>
        <w:t>学员能够把握营销战略规划的本质，建立基于战略导向和客户导向的系统化营销思维模式。</w:t>
      </w:r>
    </w:p>
    <w:p w14:paraId="60E5D315" w14:textId="77777777" w:rsidR="006E07B0" w:rsidRPr="00330C8A" w:rsidRDefault="006E07B0" w:rsidP="006E07B0">
      <w:pPr>
        <w:spacing w:line="360" w:lineRule="auto"/>
        <w:jc w:val="left"/>
        <w:rPr>
          <w:szCs w:val="21"/>
        </w:rPr>
      </w:pPr>
    </w:p>
    <w:p w14:paraId="6BDFB30E" w14:textId="77777777" w:rsidR="006E07B0" w:rsidRPr="00A81BA6" w:rsidRDefault="006E07B0" w:rsidP="006E07B0">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课程特色</w:t>
      </w:r>
    </w:p>
    <w:p w14:paraId="7FE50589" w14:textId="77777777" w:rsidR="006E07B0" w:rsidRDefault="006E07B0" w:rsidP="006E07B0">
      <w:pPr>
        <w:spacing w:line="360" w:lineRule="auto"/>
        <w:jc w:val="left"/>
        <w:rPr>
          <w:szCs w:val="21"/>
        </w:rPr>
      </w:pPr>
      <w:r>
        <w:rPr>
          <w:noProof/>
        </w:rPr>
        <mc:AlternateContent>
          <mc:Choice Requires="wps">
            <w:drawing>
              <wp:anchor distT="0" distB="0" distL="114300" distR="114300" simplePos="0" relativeHeight="251659264" behindDoc="0" locked="0" layoutInCell="1" allowOverlap="1" wp14:anchorId="466B72E6" wp14:editId="2323CBE1">
                <wp:simplePos x="0" y="0"/>
                <wp:positionH relativeFrom="column">
                  <wp:posOffset>-89535</wp:posOffset>
                </wp:positionH>
                <wp:positionV relativeFrom="paragraph">
                  <wp:posOffset>54610</wp:posOffset>
                </wp:positionV>
                <wp:extent cx="5144770" cy="1962785"/>
                <wp:effectExtent l="0" t="0" r="0" b="0"/>
                <wp:wrapNone/>
                <wp:docPr id="68"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1962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BDA998" w14:textId="77777777" w:rsidR="006E07B0" w:rsidRDefault="006E07B0" w:rsidP="006E07B0">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65203424" w14:textId="77777777" w:rsidR="006E07B0" w:rsidRDefault="006E07B0" w:rsidP="006E07B0">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1F7D26AA" w14:textId="77777777" w:rsidR="006E07B0" w:rsidRDefault="006E07B0" w:rsidP="006E07B0">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1F411C94" w14:textId="77777777" w:rsidR="006E07B0" w:rsidRDefault="006E07B0" w:rsidP="006E07B0"/>
                          <w:p w14:paraId="1FF224EC" w14:textId="77777777" w:rsidR="006E07B0" w:rsidRDefault="006E07B0" w:rsidP="006E07B0"/>
                          <w:p w14:paraId="277F2C55" w14:textId="77777777" w:rsidR="006E07B0" w:rsidRDefault="006E07B0" w:rsidP="006E07B0"/>
                          <w:p w14:paraId="54D46E01" w14:textId="77777777" w:rsidR="006E07B0" w:rsidRDefault="006E07B0" w:rsidP="006E07B0">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6B72E6" id="Text Box 51" o:spid="_x0000_s1028" type="#_x0000_t202" style="position:absolute;margin-left:-7.05pt;margin-top:4.3pt;width:405.1pt;height:15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" filled="f" stroked="f">
                <v:path arrowok="t"/>
                <v:textbox>
                  <w:txbxContent>
                    <w:p w14:paraId="76BDA998" w14:textId="77777777" w:rsidR="006E07B0" w:rsidRDefault="006E07B0" w:rsidP="006E07B0">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65203424" w14:textId="77777777" w:rsidR="006E07B0" w:rsidRDefault="006E07B0" w:rsidP="006E07B0">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1F7D26AA" w14:textId="77777777" w:rsidR="006E07B0" w:rsidRDefault="006E07B0" w:rsidP="006E07B0">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1F411C94" w14:textId="77777777" w:rsidR="006E07B0" w:rsidRDefault="006E07B0" w:rsidP="006E07B0"/>
                    <w:p w14:paraId="1FF224EC" w14:textId="77777777" w:rsidR="006E07B0" w:rsidRDefault="006E07B0" w:rsidP="006E07B0"/>
                    <w:p w14:paraId="277F2C55" w14:textId="77777777" w:rsidR="006E07B0" w:rsidRDefault="006E07B0" w:rsidP="006E07B0"/>
                    <w:p w14:paraId="54D46E01" w14:textId="77777777" w:rsidR="006E07B0" w:rsidRDefault="006E07B0" w:rsidP="006E07B0">
                      <w:pPr>
                        <w:spacing w:line="360" w:lineRule="auto"/>
                        <w:jc w:val="left"/>
                        <w:rPr>
                          <w:szCs w:val="21"/>
                        </w:rPr>
                      </w:pPr>
                    </w:p>
                  </w:txbxContent>
                </v:textbox>
              </v:shape>
            </w:pict>
          </mc:Fallback>
        </mc:AlternateContent>
      </w:r>
    </w:p>
    <w:p w14:paraId="101256E1" w14:textId="77777777" w:rsidR="006E07B0" w:rsidRDefault="006E07B0" w:rsidP="006E07B0">
      <w:pPr>
        <w:spacing w:line="360" w:lineRule="auto"/>
        <w:jc w:val="left"/>
        <w:rPr>
          <w:szCs w:val="21"/>
        </w:rPr>
      </w:pPr>
    </w:p>
    <w:p w14:paraId="2A9B9DD4" w14:textId="77777777" w:rsidR="006E07B0" w:rsidRDefault="006E07B0" w:rsidP="006E07B0">
      <w:pPr>
        <w:spacing w:line="360" w:lineRule="auto"/>
        <w:jc w:val="left"/>
        <w:rPr>
          <w:szCs w:val="21"/>
        </w:rPr>
      </w:pPr>
    </w:p>
    <w:p w14:paraId="2F028850" w14:textId="77777777" w:rsidR="006E07B0" w:rsidRDefault="006E07B0" w:rsidP="006E07B0">
      <w:pPr>
        <w:spacing w:line="360" w:lineRule="auto"/>
        <w:jc w:val="left"/>
        <w:rPr>
          <w:szCs w:val="21"/>
        </w:rPr>
      </w:pPr>
    </w:p>
    <w:p w14:paraId="0F3424AE" w14:textId="77777777" w:rsidR="006E07B0" w:rsidRDefault="006E07B0" w:rsidP="006E07B0">
      <w:pPr>
        <w:spacing w:line="360" w:lineRule="auto"/>
        <w:jc w:val="left"/>
        <w:rPr>
          <w:szCs w:val="21"/>
        </w:rPr>
      </w:pPr>
    </w:p>
    <w:p w14:paraId="5E6FE2DA" w14:textId="77777777" w:rsidR="006E07B0" w:rsidRDefault="006E07B0" w:rsidP="006E07B0">
      <w:pPr>
        <w:spacing w:line="360" w:lineRule="auto"/>
        <w:jc w:val="left"/>
        <w:rPr>
          <w:szCs w:val="21"/>
        </w:rPr>
      </w:pPr>
    </w:p>
    <w:p w14:paraId="055EB584" w14:textId="77777777" w:rsidR="006E07B0" w:rsidRPr="00A81BA6" w:rsidRDefault="006E07B0" w:rsidP="006E07B0">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lastRenderedPageBreak/>
        <w:t>授课方式</w:t>
      </w:r>
    </w:p>
    <w:p w14:paraId="1D664725" w14:textId="77777777" w:rsidR="006E07B0" w:rsidRDefault="006E07B0" w:rsidP="006E07B0">
      <w:pPr>
        <w:spacing w:line="360" w:lineRule="auto"/>
        <w:jc w:val="left"/>
        <w:rPr>
          <w:szCs w:val="21"/>
        </w:rPr>
      </w:pPr>
      <w:r>
        <w:rPr>
          <w:noProof/>
        </w:rPr>
        <mc:AlternateContent>
          <mc:Choice Requires="wps">
            <w:drawing>
              <wp:anchor distT="0" distB="0" distL="114300" distR="114300" simplePos="0" relativeHeight="251660288" behindDoc="0" locked="0" layoutInCell="1" allowOverlap="1" wp14:anchorId="2F5146EA" wp14:editId="5C1A401E">
                <wp:simplePos x="0" y="0"/>
                <wp:positionH relativeFrom="column">
                  <wp:posOffset>-23495</wp:posOffset>
                </wp:positionH>
                <wp:positionV relativeFrom="paragraph">
                  <wp:posOffset>76835</wp:posOffset>
                </wp:positionV>
                <wp:extent cx="5144770" cy="862330"/>
                <wp:effectExtent l="0" t="0" r="0" b="0"/>
                <wp:wrapNone/>
                <wp:docPr id="67"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EE8EB" w14:textId="77777777" w:rsidR="006E07B0" w:rsidRDefault="006E07B0" w:rsidP="006E07B0">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4E8A55EA" w14:textId="77777777" w:rsidR="006E07B0" w:rsidRDefault="006E07B0" w:rsidP="006E07B0">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5146EA" id="Text Box 50" o:spid="_x0000_s1029" type="#_x0000_t202" style="position:absolute;margin-left:-1.85pt;margin-top:6.05pt;width:405.1pt;height:6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" filled="f" stroked="f">
                <v:path arrowok="t"/>
                <v:textbox>
                  <w:txbxContent>
                    <w:p w14:paraId="5D8EE8EB" w14:textId="77777777" w:rsidR="006E07B0" w:rsidRDefault="006E07B0" w:rsidP="006E07B0">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4E8A55EA" w14:textId="77777777" w:rsidR="006E07B0" w:rsidRDefault="006E07B0" w:rsidP="006E07B0">
                      <w:pPr>
                        <w:spacing w:line="360" w:lineRule="auto"/>
                        <w:jc w:val="left"/>
                        <w:rPr>
                          <w:szCs w:val="21"/>
                        </w:rPr>
                      </w:pPr>
                    </w:p>
                  </w:txbxContent>
                </v:textbox>
              </v:shape>
            </w:pict>
          </mc:Fallback>
        </mc:AlternateContent>
      </w:r>
    </w:p>
    <w:p w14:paraId="77C42723" w14:textId="77777777" w:rsidR="006E07B0" w:rsidRDefault="006E07B0" w:rsidP="006E07B0">
      <w:pPr>
        <w:spacing w:line="360" w:lineRule="auto"/>
        <w:jc w:val="left"/>
        <w:rPr>
          <w:szCs w:val="21"/>
        </w:rPr>
      </w:pPr>
    </w:p>
    <w:p w14:paraId="3B1E5B9B" w14:textId="77777777" w:rsidR="006E07B0" w:rsidRDefault="006E07B0" w:rsidP="006E07B0">
      <w:pPr>
        <w:spacing w:line="360" w:lineRule="auto"/>
        <w:jc w:val="left"/>
        <w:rPr>
          <w:rFonts w:ascii="微软雅黑" w:eastAsia="微软雅黑" w:hAnsi="微软雅黑"/>
          <w:b/>
          <w:sz w:val="28"/>
          <w:szCs w:val="28"/>
        </w:rPr>
      </w:pPr>
    </w:p>
    <w:p w14:paraId="16AD26BF" w14:textId="77777777" w:rsidR="006E07B0" w:rsidRPr="00330C8A" w:rsidRDefault="006E07B0" w:rsidP="006E07B0">
      <w:pPr>
        <w:spacing w:line="360" w:lineRule="auto"/>
        <w:jc w:val="left"/>
        <w:rPr>
          <w:rFonts w:ascii="微软雅黑" w:eastAsia="微软雅黑" w:hAnsi="微软雅黑"/>
          <w:b/>
          <w:sz w:val="28"/>
          <w:szCs w:val="28"/>
        </w:rPr>
      </w:pPr>
      <w:r w:rsidRPr="00330C8A">
        <w:rPr>
          <w:rFonts w:ascii="微软雅黑" w:eastAsia="微软雅黑" w:hAnsi="微软雅黑"/>
          <w:b/>
          <w:sz w:val="28"/>
          <w:szCs w:val="28"/>
        </w:rPr>
        <w:t>课程大纲</w:t>
      </w:r>
    </w:p>
    <w:p w14:paraId="0BB43446" w14:textId="77777777" w:rsidR="006E07B0" w:rsidRDefault="006E07B0" w:rsidP="006E07B0">
      <w:pPr>
        <w:spacing w:line="360" w:lineRule="auto"/>
        <w:jc w:val="left"/>
        <w:rPr>
          <w:szCs w:val="21"/>
        </w:rPr>
      </w:pPr>
    </w:p>
    <w:p w14:paraId="1B460E77" w14:textId="77777777" w:rsidR="006E07B0" w:rsidRPr="00441038" w:rsidRDefault="006E07B0" w:rsidP="006E07B0">
      <w:pPr>
        <w:spacing w:line="360" w:lineRule="auto"/>
        <w:rPr>
          <w:rFonts w:ascii="微软雅黑" w:eastAsia="微软雅黑" w:hAnsi="微软雅黑"/>
          <w:b/>
          <w:szCs w:val="21"/>
        </w:rPr>
      </w:pPr>
      <w:r w:rsidRPr="00441038">
        <w:rPr>
          <w:rFonts w:ascii="微软雅黑" w:eastAsia="微软雅黑" w:hAnsi="微软雅黑" w:hint="eastAsia"/>
          <w:b/>
          <w:szCs w:val="21"/>
        </w:rPr>
        <w:t>第一单元 市场营销规划的基本框架</w:t>
      </w:r>
    </w:p>
    <w:p w14:paraId="69A5A513" w14:textId="77777777" w:rsidR="006E07B0" w:rsidRDefault="006E07B0" w:rsidP="006E07B0">
      <w:pPr>
        <w:spacing w:line="360" w:lineRule="auto"/>
      </w:pPr>
      <w:r>
        <w:rPr>
          <w:rFonts w:asciiTheme="minorEastAsia" w:hAnsiTheme="minorEastAsia" w:hint="eastAsia"/>
        </w:rPr>
        <w:t>·</w:t>
      </w:r>
      <w:r>
        <w:rPr>
          <w:rFonts w:hint="eastAsia"/>
        </w:rPr>
        <w:t>营销的定义</w:t>
      </w:r>
    </w:p>
    <w:p w14:paraId="12BAAC70" w14:textId="77777777" w:rsidR="006E07B0" w:rsidRDefault="006E07B0" w:rsidP="006E07B0">
      <w:pPr>
        <w:spacing w:line="360" w:lineRule="auto"/>
      </w:pPr>
      <w:r>
        <w:rPr>
          <w:rFonts w:asciiTheme="minorEastAsia" w:hAnsiTheme="minorEastAsia" w:hint="eastAsia"/>
        </w:rPr>
        <w:t>·</w:t>
      </w:r>
      <w:r>
        <w:rPr>
          <w:rFonts w:hint="eastAsia"/>
        </w:rPr>
        <w:t>营销规划基于营销思维而非销售思维</w:t>
      </w:r>
    </w:p>
    <w:p w14:paraId="1E75F2B2" w14:textId="77777777" w:rsidR="006E07B0" w:rsidRDefault="006E07B0" w:rsidP="006E07B0">
      <w:pPr>
        <w:spacing w:line="360" w:lineRule="auto"/>
      </w:pPr>
      <w:r>
        <w:rPr>
          <w:rFonts w:asciiTheme="minorEastAsia" w:hAnsiTheme="minorEastAsia" w:hint="eastAsia"/>
        </w:rPr>
        <w:t>·</w:t>
      </w:r>
      <w:r>
        <w:rPr>
          <w:rFonts w:hint="eastAsia"/>
        </w:rPr>
        <w:t>推销满足需求，营销创造需求！</w:t>
      </w:r>
    </w:p>
    <w:p w14:paraId="2DEC5E5F" w14:textId="77777777" w:rsidR="006E07B0" w:rsidRDefault="006E07B0" w:rsidP="006E07B0">
      <w:pPr>
        <w:spacing w:line="360" w:lineRule="auto"/>
      </w:pPr>
      <w:r>
        <w:rPr>
          <w:rFonts w:asciiTheme="minorEastAsia" w:hAnsiTheme="minorEastAsia" w:hint="eastAsia"/>
        </w:rPr>
        <w:t>·</w:t>
      </w:r>
      <w:r>
        <w:rPr>
          <w:rFonts w:hint="eastAsia"/>
        </w:rPr>
        <w:t>毛泽东对战略的理解：战略是基于客观环境的主观能动性</w:t>
      </w:r>
    </w:p>
    <w:p w14:paraId="5FED35D5" w14:textId="77777777" w:rsidR="006E07B0" w:rsidRDefault="006E07B0" w:rsidP="006E07B0">
      <w:pPr>
        <w:spacing w:line="360" w:lineRule="auto"/>
      </w:pPr>
      <w:r>
        <w:rPr>
          <w:rFonts w:asciiTheme="minorEastAsia" w:hAnsiTheme="minorEastAsia" w:hint="eastAsia"/>
        </w:rPr>
        <w:t>·</w:t>
      </w:r>
      <w:r>
        <w:rPr>
          <w:rFonts w:hint="eastAsia"/>
        </w:rPr>
        <w:t>市场营销战略规划的概念及营销战略五要素</w:t>
      </w:r>
    </w:p>
    <w:p w14:paraId="2A37059F" w14:textId="77777777" w:rsidR="006E07B0" w:rsidRDefault="006E07B0" w:rsidP="006E07B0">
      <w:pPr>
        <w:spacing w:line="360" w:lineRule="auto"/>
      </w:pPr>
      <w:r>
        <w:rPr>
          <w:rFonts w:hint="eastAsia"/>
        </w:rPr>
        <w:t>①调查（Research）</w:t>
      </w:r>
    </w:p>
    <w:p w14:paraId="1BDF650D" w14:textId="77777777" w:rsidR="006E07B0" w:rsidRDefault="006E07B0" w:rsidP="006E07B0">
      <w:pPr>
        <w:spacing w:line="360" w:lineRule="auto"/>
      </w:pPr>
      <w:r>
        <w:rPr>
          <w:rFonts w:hint="eastAsia"/>
        </w:rPr>
        <w:t>②市场细分、目标市场选择、市场定位（STP：Segmentation、Targeting、Positioning）</w:t>
      </w:r>
    </w:p>
    <w:p w14:paraId="643477B7" w14:textId="77777777" w:rsidR="006E07B0" w:rsidRDefault="006E07B0" w:rsidP="006E07B0">
      <w:pPr>
        <w:spacing w:line="360" w:lineRule="auto"/>
      </w:pPr>
      <w:r>
        <w:rPr>
          <w:rFonts w:hint="eastAsia"/>
        </w:rPr>
        <w:t>③市场营销组合MM (Marketing Mix)</w:t>
      </w:r>
    </w:p>
    <w:p w14:paraId="4BE19912" w14:textId="77777777" w:rsidR="006E07B0" w:rsidRDefault="006E07B0" w:rsidP="006E07B0">
      <w:pPr>
        <w:spacing w:line="360" w:lineRule="auto"/>
      </w:pPr>
      <w:r>
        <w:rPr>
          <w:rFonts w:hint="eastAsia"/>
        </w:rPr>
        <w:t>④实施（Implementation）</w:t>
      </w:r>
    </w:p>
    <w:p w14:paraId="28BA2F77" w14:textId="77777777" w:rsidR="006E07B0" w:rsidRDefault="006E07B0" w:rsidP="006E07B0">
      <w:pPr>
        <w:spacing w:line="360" w:lineRule="auto"/>
      </w:pPr>
      <w:r>
        <w:rPr>
          <w:rFonts w:hint="eastAsia"/>
        </w:rPr>
        <w:t>⑤管理（Control）</w:t>
      </w:r>
    </w:p>
    <w:p w14:paraId="09BBBF9A" w14:textId="77777777" w:rsidR="006E07B0" w:rsidRDefault="006E07B0" w:rsidP="006E07B0">
      <w:pPr>
        <w:spacing w:line="360" w:lineRule="auto"/>
      </w:pPr>
      <w:r>
        <w:rPr>
          <w:rFonts w:asciiTheme="minorEastAsia" w:hAnsiTheme="minorEastAsia" w:hint="eastAsia"/>
        </w:rPr>
        <w:t>·</w:t>
      </w:r>
      <w:r>
        <w:rPr>
          <w:rFonts w:hint="eastAsia"/>
        </w:rPr>
        <w:t>市场营销战略规划的思考框架</w:t>
      </w:r>
    </w:p>
    <w:p w14:paraId="02B2227C" w14:textId="77777777" w:rsidR="006E07B0" w:rsidRDefault="006E07B0" w:rsidP="006E07B0">
      <w:pPr>
        <w:spacing w:line="360" w:lineRule="auto"/>
      </w:pPr>
      <w:r>
        <w:rPr>
          <w:rFonts w:asciiTheme="minorEastAsia" w:hAnsiTheme="minorEastAsia" w:hint="eastAsia"/>
        </w:rPr>
        <w:t>·互联网时代</w:t>
      </w:r>
      <w:r>
        <w:rPr>
          <w:rFonts w:hint="eastAsia"/>
        </w:rPr>
        <w:t>市场营销战略的三种思维：终局思维、增长思维和互联网思维</w:t>
      </w:r>
    </w:p>
    <w:p w14:paraId="06E1909E" w14:textId="77777777" w:rsidR="006E07B0" w:rsidRPr="00862C83" w:rsidRDefault="006E07B0" w:rsidP="006E07B0">
      <w:pPr>
        <w:spacing w:line="360" w:lineRule="auto"/>
      </w:pPr>
    </w:p>
    <w:p w14:paraId="1675BF44" w14:textId="77777777" w:rsidR="006E07B0" w:rsidRPr="00441038" w:rsidRDefault="006E07B0" w:rsidP="006E07B0">
      <w:pPr>
        <w:spacing w:line="360" w:lineRule="auto"/>
        <w:rPr>
          <w:rFonts w:ascii="微软雅黑" w:eastAsia="微软雅黑" w:hAnsi="微软雅黑"/>
          <w:b/>
        </w:rPr>
      </w:pPr>
      <w:r w:rsidRPr="00441038">
        <w:rPr>
          <w:rFonts w:ascii="微软雅黑" w:eastAsia="微软雅黑" w:hAnsi="微软雅黑" w:hint="eastAsia"/>
          <w:b/>
        </w:rPr>
        <w:t>第二单元</w:t>
      </w:r>
      <w:r>
        <w:rPr>
          <w:rFonts w:ascii="微软雅黑" w:eastAsia="微软雅黑" w:hAnsi="微软雅黑" w:hint="eastAsia"/>
          <w:b/>
        </w:rPr>
        <w:t xml:space="preserve"> </w:t>
      </w:r>
      <w:r w:rsidRPr="00441038">
        <w:rPr>
          <w:rFonts w:ascii="微软雅黑" w:eastAsia="微软雅黑" w:hAnsi="微软雅黑" w:hint="eastAsia"/>
          <w:b/>
        </w:rPr>
        <w:t>市场调研和市场分析</w:t>
      </w:r>
    </w:p>
    <w:p w14:paraId="3E375136" w14:textId="77777777" w:rsidR="006E07B0" w:rsidRDefault="006E07B0" w:rsidP="006E07B0">
      <w:pPr>
        <w:spacing w:line="360" w:lineRule="auto"/>
      </w:pPr>
      <w:r>
        <w:rPr>
          <w:rFonts w:asciiTheme="minorEastAsia" w:hAnsiTheme="minorEastAsia" w:hint="eastAsia"/>
        </w:rPr>
        <w:t>·</w:t>
      </w:r>
      <w:r>
        <w:rPr>
          <w:rFonts w:hint="eastAsia"/>
        </w:rPr>
        <w:t>市场调研的定义</w:t>
      </w:r>
    </w:p>
    <w:p w14:paraId="6B335414" w14:textId="77777777" w:rsidR="006E07B0" w:rsidRDefault="006E07B0" w:rsidP="006E07B0">
      <w:pPr>
        <w:spacing w:line="360" w:lineRule="auto"/>
      </w:pPr>
      <w:r>
        <w:rPr>
          <w:rFonts w:asciiTheme="minorEastAsia" w:hAnsiTheme="minorEastAsia" w:hint="eastAsia"/>
        </w:rPr>
        <w:t>·</w:t>
      </w:r>
      <w:r>
        <w:rPr>
          <w:rFonts w:hint="eastAsia"/>
        </w:rPr>
        <w:t>市场调研的四种类型</w:t>
      </w:r>
    </w:p>
    <w:p w14:paraId="2B2D6220" w14:textId="77777777" w:rsidR="006E07B0" w:rsidRDefault="006E07B0" w:rsidP="006E07B0">
      <w:pPr>
        <w:spacing w:line="360" w:lineRule="auto"/>
      </w:pPr>
      <w:r>
        <w:rPr>
          <w:rFonts w:asciiTheme="minorEastAsia" w:hAnsiTheme="minorEastAsia" w:hint="eastAsia"/>
        </w:rPr>
        <w:t>·</w:t>
      </w:r>
      <w:r>
        <w:rPr>
          <w:rFonts w:hint="eastAsia"/>
        </w:rPr>
        <w:t>市场调研的三个重要原则和五个步骤</w:t>
      </w:r>
    </w:p>
    <w:p w14:paraId="071A3DF8" w14:textId="77777777" w:rsidR="006E07B0" w:rsidRDefault="006E07B0" w:rsidP="006E07B0">
      <w:pPr>
        <w:spacing w:line="360" w:lineRule="auto"/>
      </w:pPr>
      <w:r>
        <w:rPr>
          <w:rFonts w:asciiTheme="minorEastAsia" w:hAnsiTheme="minorEastAsia" w:hint="eastAsia"/>
        </w:rPr>
        <w:t>·</w:t>
      </w:r>
      <w:r>
        <w:rPr>
          <w:rFonts w:hint="eastAsia"/>
        </w:rPr>
        <w:t>常用的调研信息搜集方法</w:t>
      </w:r>
    </w:p>
    <w:p w14:paraId="14C80C7E" w14:textId="77777777" w:rsidR="006E07B0" w:rsidRDefault="006E07B0" w:rsidP="006E07B0">
      <w:pPr>
        <w:spacing w:line="360" w:lineRule="auto"/>
      </w:pPr>
      <w:r>
        <w:rPr>
          <w:rFonts w:asciiTheme="minorEastAsia" w:hAnsiTheme="minorEastAsia" w:hint="eastAsia"/>
        </w:rPr>
        <w:t>·</w:t>
      </w:r>
      <w:r>
        <w:rPr>
          <w:rFonts w:hint="eastAsia"/>
        </w:rPr>
        <w:t>一手数据与二手数据</w:t>
      </w:r>
    </w:p>
    <w:p w14:paraId="5993F67E" w14:textId="77777777" w:rsidR="006E07B0" w:rsidRDefault="006E07B0" w:rsidP="006E07B0">
      <w:pPr>
        <w:spacing w:line="360" w:lineRule="auto"/>
      </w:pPr>
      <w:r>
        <w:rPr>
          <w:rFonts w:asciiTheme="minorEastAsia" w:hAnsiTheme="minorEastAsia" w:hint="eastAsia"/>
        </w:rPr>
        <w:t>·</w:t>
      </w:r>
      <w:r>
        <w:rPr>
          <w:rFonts w:hint="eastAsia"/>
        </w:rPr>
        <w:t>数据分析模型-SWOT态势分析工具</w:t>
      </w:r>
    </w:p>
    <w:p w14:paraId="1C642CDF" w14:textId="77777777" w:rsidR="006E07B0" w:rsidRDefault="006E07B0" w:rsidP="006E07B0">
      <w:pPr>
        <w:spacing w:line="360" w:lineRule="auto"/>
      </w:pPr>
      <w:r>
        <w:rPr>
          <w:rFonts w:asciiTheme="minorEastAsia" w:hAnsiTheme="minorEastAsia" w:hint="eastAsia"/>
        </w:rPr>
        <w:t>·</w:t>
      </w:r>
      <w:r>
        <w:rPr>
          <w:rFonts w:hint="eastAsia"/>
        </w:rPr>
        <w:t>外部环境分析的PEST模型</w:t>
      </w:r>
    </w:p>
    <w:p w14:paraId="4A1A2C78" w14:textId="77777777" w:rsidR="006E07B0" w:rsidRDefault="006E07B0" w:rsidP="006E07B0">
      <w:pPr>
        <w:spacing w:line="360" w:lineRule="auto"/>
      </w:pPr>
      <w:r>
        <w:rPr>
          <w:rFonts w:asciiTheme="minorEastAsia" w:hAnsiTheme="minorEastAsia" w:hint="eastAsia"/>
        </w:rPr>
        <w:lastRenderedPageBreak/>
        <w:t>·</w:t>
      </w:r>
      <w:r>
        <w:rPr>
          <w:rFonts w:hint="eastAsia"/>
        </w:rPr>
        <w:t>内部环境分析的对标法</w:t>
      </w:r>
    </w:p>
    <w:p w14:paraId="6928E00B" w14:textId="77777777" w:rsidR="006E07B0" w:rsidRDefault="006E07B0" w:rsidP="006E07B0">
      <w:pPr>
        <w:spacing w:line="360" w:lineRule="auto"/>
      </w:pPr>
      <w:r>
        <w:rPr>
          <w:rFonts w:asciiTheme="minorEastAsia" w:hAnsiTheme="minorEastAsia" w:hint="eastAsia"/>
        </w:rPr>
        <w:t>·</w:t>
      </w:r>
      <w:r>
        <w:rPr>
          <w:rFonts w:hint="eastAsia"/>
        </w:rPr>
        <w:t>工具：调研计划表</w:t>
      </w:r>
    </w:p>
    <w:p w14:paraId="6027E7C7" w14:textId="77777777" w:rsidR="006E07B0" w:rsidRDefault="006E07B0" w:rsidP="006E07B0">
      <w:pPr>
        <w:spacing w:line="360" w:lineRule="auto"/>
      </w:pPr>
      <w:r w:rsidRPr="00862C83">
        <w:rPr>
          <w:rFonts w:hint="eastAsia"/>
          <w:b/>
          <w:color w:val="FF0000"/>
        </w:rPr>
        <w:t>课堂研讨：</w:t>
      </w:r>
      <w:r w:rsidRPr="00862C83">
        <w:rPr>
          <w:color w:val="FF0000"/>
        </w:rPr>
        <w:t>运用</w:t>
      </w:r>
      <w:r>
        <w:rPr>
          <w:rFonts w:hint="eastAsia"/>
          <w:color w:val="FF0000"/>
        </w:rPr>
        <w:t>SWOT</w:t>
      </w:r>
      <w:r w:rsidRPr="00862C83">
        <w:rPr>
          <w:color w:val="FF0000"/>
        </w:rPr>
        <w:t>工具</w:t>
      </w:r>
      <w:r>
        <w:rPr>
          <w:rFonts w:hint="eastAsia"/>
          <w:color w:val="FF0000"/>
        </w:rPr>
        <w:t>制定营销战略框架（2天课程才有）</w:t>
      </w:r>
    </w:p>
    <w:p w14:paraId="75F398B4" w14:textId="77777777" w:rsidR="006E07B0" w:rsidRPr="00862C83" w:rsidRDefault="006E07B0" w:rsidP="006E07B0">
      <w:pPr>
        <w:spacing w:line="360" w:lineRule="auto"/>
      </w:pPr>
    </w:p>
    <w:p w14:paraId="1D36224F" w14:textId="77777777" w:rsidR="006E07B0" w:rsidRPr="00441038" w:rsidRDefault="006E07B0" w:rsidP="006E07B0">
      <w:pPr>
        <w:spacing w:line="360" w:lineRule="auto"/>
        <w:rPr>
          <w:rFonts w:ascii="微软雅黑" w:eastAsia="微软雅黑" w:hAnsi="微软雅黑"/>
          <w:b/>
          <w:szCs w:val="21"/>
        </w:rPr>
      </w:pPr>
      <w:r w:rsidRPr="00441038">
        <w:rPr>
          <w:rFonts w:ascii="微软雅黑" w:eastAsia="微软雅黑" w:hAnsi="微软雅黑" w:hint="eastAsia"/>
          <w:b/>
          <w:szCs w:val="21"/>
        </w:rPr>
        <w:t>第三单元  STP营销：市场细分、目标市场选择与定位</w:t>
      </w:r>
    </w:p>
    <w:p w14:paraId="40CF0059" w14:textId="77777777" w:rsidR="006E07B0" w:rsidRDefault="006E07B0" w:rsidP="006E07B0">
      <w:pPr>
        <w:spacing w:line="360" w:lineRule="auto"/>
      </w:pPr>
      <w:r>
        <w:rPr>
          <w:rFonts w:asciiTheme="minorEastAsia" w:hAnsiTheme="minorEastAsia" w:hint="eastAsia"/>
        </w:rPr>
        <w:t>·</w:t>
      </w:r>
      <w:r>
        <w:rPr>
          <w:rFonts w:hint="eastAsia"/>
        </w:rPr>
        <w:t>STP营销理论及STP实施的三个步骤</w:t>
      </w:r>
    </w:p>
    <w:p w14:paraId="604D3364" w14:textId="77777777" w:rsidR="006E07B0" w:rsidRDefault="006E07B0" w:rsidP="006E07B0">
      <w:pPr>
        <w:spacing w:line="360" w:lineRule="auto"/>
      </w:pPr>
      <w:r>
        <w:rPr>
          <w:rFonts w:asciiTheme="minorEastAsia" w:hAnsiTheme="minorEastAsia" w:hint="eastAsia"/>
        </w:rPr>
        <w:t>·</w:t>
      </w:r>
      <w:r>
        <w:rPr>
          <w:rFonts w:hint="eastAsia"/>
        </w:rPr>
        <w:t>市场细分的概念</w:t>
      </w:r>
    </w:p>
    <w:p w14:paraId="0CB97419" w14:textId="77777777" w:rsidR="006E07B0" w:rsidRDefault="006E07B0" w:rsidP="006E07B0">
      <w:pPr>
        <w:spacing w:line="360" w:lineRule="auto"/>
      </w:pPr>
      <w:r>
        <w:rPr>
          <w:rFonts w:asciiTheme="minorEastAsia" w:hAnsiTheme="minorEastAsia" w:hint="eastAsia"/>
        </w:rPr>
        <w:t>·</w:t>
      </w:r>
      <w:r>
        <w:rPr>
          <w:rFonts w:hint="eastAsia"/>
        </w:rPr>
        <w:t>市场细分的四个重要原则</w:t>
      </w:r>
    </w:p>
    <w:p w14:paraId="41A7A4B8" w14:textId="77777777" w:rsidR="006E07B0" w:rsidRDefault="006E07B0" w:rsidP="006E07B0">
      <w:pPr>
        <w:spacing w:line="360" w:lineRule="auto"/>
      </w:pPr>
      <w:r>
        <w:rPr>
          <w:rFonts w:asciiTheme="minorEastAsia" w:hAnsiTheme="minorEastAsia" w:hint="eastAsia"/>
        </w:rPr>
        <w:t>·</w:t>
      </w:r>
      <w:r>
        <w:rPr>
          <w:rFonts w:hint="eastAsia"/>
        </w:rPr>
        <w:t>市场细分与目标市场营销的步骤</w:t>
      </w:r>
    </w:p>
    <w:p w14:paraId="5767052D" w14:textId="77777777" w:rsidR="006E07B0" w:rsidRDefault="006E07B0" w:rsidP="006E07B0">
      <w:pPr>
        <w:spacing w:line="360" w:lineRule="auto"/>
      </w:pPr>
      <w:r>
        <w:rPr>
          <w:rFonts w:asciiTheme="minorEastAsia" w:hAnsiTheme="minorEastAsia" w:hint="eastAsia"/>
        </w:rPr>
        <w:t>·</w:t>
      </w:r>
      <w:r>
        <w:rPr>
          <w:rFonts w:hint="eastAsia"/>
        </w:rPr>
        <w:t>工业产品市场细分变量的选择</w:t>
      </w:r>
    </w:p>
    <w:p w14:paraId="263E837D" w14:textId="77777777" w:rsidR="006E07B0" w:rsidRDefault="006E07B0" w:rsidP="006E07B0">
      <w:pPr>
        <w:spacing w:line="360" w:lineRule="auto"/>
      </w:pPr>
      <w:r>
        <w:rPr>
          <w:rFonts w:asciiTheme="minorEastAsia" w:hAnsiTheme="minorEastAsia" w:hint="eastAsia"/>
        </w:rPr>
        <w:t>·</w:t>
      </w:r>
      <w:r>
        <w:rPr>
          <w:rFonts w:hint="eastAsia"/>
        </w:rPr>
        <w:t>案例：卡特彼勒工程机械的市场定位</w:t>
      </w:r>
    </w:p>
    <w:p w14:paraId="47471AB7" w14:textId="77777777" w:rsidR="006E07B0" w:rsidRDefault="006E07B0" w:rsidP="006E07B0">
      <w:pPr>
        <w:spacing w:line="360" w:lineRule="auto"/>
      </w:pPr>
      <w:r>
        <w:rPr>
          <w:rFonts w:asciiTheme="minorEastAsia" w:hAnsiTheme="minorEastAsia" w:hint="eastAsia"/>
        </w:rPr>
        <w:t>·</w:t>
      </w:r>
      <w:r>
        <w:rPr>
          <w:rFonts w:hint="eastAsia"/>
        </w:rPr>
        <w:t>五种目标市场定位策略</w:t>
      </w:r>
    </w:p>
    <w:p w14:paraId="0DD8C330" w14:textId="77777777" w:rsidR="006E07B0" w:rsidRDefault="006E07B0" w:rsidP="006E07B0">
      <w:pPr>
        <w:spacing w:line="360" w:lineRule="auto"/>
      </w:pPr>
      <w:r>
        <w:rPr>
          <w:rFonts w:asciiTheme="minorEastAsia" w:hAnsiTheme="minorEastAsia" w:hint="eastAsia"/>
        </w:rPr>
        <w:t>·</w:t>
      </w:r>
      <w:r>
        <w:rPr>
          <w:rFonts w:hint="eastAsia"/>
        </w:rPr>
        <w:t>案例：新奥燃气细分市场划分</w:t>
      </w:r>
    </w:p>
    <w:p w14:paraId="4FC4C0B5" w14:textId="77777777" w:rsidR="006E07B0" w:rsidRDefault="006E07B0" w:rsidP="006E07B0">
      <w:pPr>
        <w:spacing w:line="360" w:lineRule="auto"/>
      </w:pPr>
      <w:r>
        <w:rPr>
          <w:rFonts w:asciiTheme="minorEastAsia" w:hAnsiTheme="minorEastAsia" w:hint="eastAsia"/>
        </w:rPr>
        <w:t>·</w:t>
      </w:r>
      <w:r>
        <w:rPr>
          <w:rFonts w:hint="eastAsia"/>
        </w:rPr>
        <w:t>目标市场选择的SPAN矩阵工具</w:t>
      </w:r>
    </w:p>
    <w:p w14:paraId="4A21C967" w14:textId="77777777" w:rsidR="006E07B0" w:rsidRDefault="006E07B0" w:rsidP="006E07B0">
      <w:pPr>
        <w:spacing w:line="360" w:lineRule="auto"/>
      </w:pPr>
      <w:r w:rsidRPr="00862C83">
        <w:rPr>
          <w:rFonts w:hint="eastAsia"/>
          <w:b/>
          <w:color w:val="FF0000"/>
        </w:rPr>
        <w:t>课堂研讨：</w:t>
      </w:r>
      <w:r w:rsidRPr="00862C83">
        <w:rPr>
          <w:color w:val="FF0000"/>
        </w:rPr>
        <w:t>运用</w:t>
      </w:r>
      <w:r>
        <w:rPr>
          <w:rFonts w:hint="eastAsia"/>
          <w:color w:val="FF0000"/>
        </w:rPr>
        <w:t>SPAN</w:t>
      </w:r>
      <w:r w:rsidRPr="00862C83">
        <w:rPr>
          <w:color w:val="FF0000"/>
        </w:rPr>
        <w:t>工具对</w:t>
      </w:r>
      <w:r>
        <w:rPr>
          <w:rFonts w:hint="eastAsia"/>
          <w:color w:val="FF0000"/>
        </w:rPr>
        <w:t>某</w:t>
      </w:r>
      <w:r>
        <w:rPr>
          <w:color w:val="FF0000"/>
        </w:rPr>
        <w:t>个</w:t>
      </w:r>
      <w:r w:rsidRPr="00862C83">
        <w:rPr>
          <w:color w:val="FF0000"/>
        </w:rPr>
        <w:t>市场</w:t>
      </w:r>
      <w:r>
        <w:rPr>
          <w:rFonts w:hint="eastAsia"/>
          <w:color w:val="FF0000"/>
        </w:rPr>
        <w:t>进行</w:t>
      </w:r>
      <w:r>
        <w:rPr>
          <w:color w:val="FF0000"/>
        </w:rPr>
        <w:t>细分并确定目标市场</w:t>
      </w:r>
      <w:r>
        <w:rPr>
          <w:rFonts w:hint="eastAsia"/>
          <w:color w:val="FF0000"/>
        </w:rPr>
        <w:t>（2天课程才有）</w:t>
      </w:r>
    </w:p>
    <w:p w14:paraId="0D38529B" w14:textId="77777777" w:rsidR="006E07B0" w:rsidRDefault="006E07B0" w:rsidP="006E07B0">
      <w:pPr>
        <w:spacing w:line="360" w:lineRule="auto"/>
      </w:pPr>
      <w:r>
        <w:rPr>
          <w:rFonts w:asciiTheme="minorEastAsia" w:hAnsiTheme="minorEastAsia" w:hint="eastAsia"/>
        </w:rPr>
        <w:t>·</w:t>
      </w:r>
      <w:r>
        <w:rPr>
          <w:rFonts w:hint="eastAsia"/>
        </w:rPr>
        <w:t>市场定位的概念</w:t>
      </w:r>
    </w:p>
    <w:p w14:paraId="44C5C426" w14:textId="77777777" w:rsidR="006E07B0" w:rsidRDefault="006E07B0" w:rsidP="006E07B0">
      <w:pPr>
        <w:spacing w:line="360" w:lineRule="auto"/>
      </w:pPr>
      <w:r>
        <w:rPr>
          <w:rFonts w:asciiTheme="minorEastAsia" w:hAnsiTheme="minorEastAsia" w:hint="eastAsia"/>
        </w:rPr>
        <w:t>·</w:t>
      </w:r>
      <w:r>
        <w:rPr>
          <w:rFonts w:hint="eastAsia"/>
        </w:rPr>
        <w:t>美国营销学家特劳特的四步品牌定位法</w:t>
      </w:r>
    </w:p>
    <w:p w14:paraId="7202B65A" w14:textId="77777777" w:rsidR="006E07B0" w:rsidRDefault="006E07B0" w:rsidP="006E07B0">
      <w:pPr>
        <w:spacing w:line="360" w:lineRule="auto"/>
      </w:pPr>
      <w:r>
        <w:rPr>
          <w:rFonts w:asciiTheme="minorEastAsia" w:hAnsiTheme="minorEastAsia" w:hint="eastAsia"/>
        </w:rPr>
        <w:t>·</w:t>
      </w:r>
      <w:r>
        <w:rPr>
          <w:rFonts w:hint="eastAsia"/>
        </w:rPr>
        <w:t>B2B产品品牌定位的三要素</w:t>
      </w:r>
    </w:p>
    <w:p w14:paraId="6D1A7EA6" w14:textId="77777777" w:rsidR="006E07B0" w:rsidRDefault="006E07B0" w:rsidP="006E07B0">
      <w:pPr>
        <w:spacing w:line="360" w:lineRule="auto"/>
      </w:pPr>
      <w:r>
        <w:rPr>
          <w:rFonts w:asciiTheme="minorEastAsia" w:hAnsiTheme="minorEastAsia" w:hint="eastAsia"/>
        </w:rPr>
        <w:t>·</w:t>
      </w:r>
      <w:r>
        <w:rPr>
          <w:rFonts w:hint="eastAsia"/>
        </w:rPr>
        <w:t>案例：甲骨文服务器的产品利益定位</w:t>
      </w:r>
    </w:p>
    <w:p w14:paraId="2C798C22" w14:textId="77777777" w:rsidR="006E07B0" w:rsidRDefault="006E07B0" w:rsidP="006E07B0">
      <w:pPr>
        <w:spacing w:line="360" w:lineRule="auto"/>
      </w:pPr>
      <w:r>
        <w:rPr>
          <w:rFonts w:asciiTheme="minorEastAsia" w:hAnsiTheme="minorEastAsia" w:hint="eastAsia"/>
        </w:rPr>
        <w:t>·</w:t>
      </w:r>
      <w:r>
        <w:rPr>
          <w:rFonts w:hint="eastAsia"/>
        </w:rPr>
        <w:t>案例：Double A 复印纸的价值主张定位</w:t>
      </w:r>
    </w:p>
    <w:p w14:paraId="4E01C87F" w14:textId="77777777" w:rsidR="006E07B0" w:rsidRPr="00862C83" w:rsidRDefault="006E07B0" w:rsidP="006E07B0">
      <w:pPr>
        <w:spacing w:line="360" w:lineRule="auto"/>
        <w:rPr>
          <w:color w:val="FF0000"/>
        </w:rPr>
      </w:pPr>
      <w:r w:rsidRPr="00862C83">
        <w:rPr>
          <w:b/>
          <w:color w:val="FF0000"/>
        </w:rPr>
        <w:t>课堂研讨</w:t>
      </w:r>
      <w:r w:rsidRPr="00862C83">
        <w:rPr>
          <w:rFonts w:hint="eastAsia"/>
          <w:b/>
          <w:color w:val="FF0000"/>
        </w:rPr>
        <w:t>：</w:t>
      </w:r>
      <w:r w:rsidRPr="00862C83">
        <w:rPr>
          <w:color w:val="FF0000"/>
        </w:rPr>
        <w:t>运用市场定位工具对某种产品进行市场定位</w:t>
      </w:r>
    </w:p>
    <w:p w14:paraId="3575894D" w14:textId="77777777" w:rsidR="006E07B0" w:rsidRDefault="006E07B0" w:rsidP="006E07B0">
      <w:pPr>
        <w:spacing w:line="360" w:lineRule="auto"/>
        <w:rPr>
          <w:rFonts w:ascii="微软雅黑" w:eastAsia="微软雅黑" w:hAnsi="微软雅黑"/>
          <w:b/>
        </w:rPr>
      </w:pPr>
    </w:p>
    <w:p w14:paraId="79212EA7" w14:textId="77777777" w:rsidR="006E07B0" w:rsidRPr="00441038" w:rsidRDefault="006E07B0" w:rsidP="006E07B0">
      <w:pPr>
        <w:spacing w:line="360" w:lineRule="auto"/>
        <w:rPr>
          <w:rFonts w:ascii="微软雅黑" w:eastAsia="微软雅黑" w:hAnsi="微软雅黑"/>
          <w:b/>
        </w:rPr>
      </w:pPr>
      <w:r w:rsidRPr="00441038">
        <w:rPr>
          <w:rFonts w:ascii="微软雅黑" w:eastAsia="微软雅黑" w:hAnsi="微软雅黑" w:hint="eastAsia"/>
          <w:b/>
        </w:rPr>
        <w:t>第四单元 营销组合决策之产品策略</w:t>
      </w:r>
    </w:p>
    <w:p w14:paraId="0907BB27" w14:textId="77777777" w:rsidR="006E07B0" w:rsidRDefault="006E07B0" w:rsidP="006E07B0">
      <w:pPr>
        <w:spacing w:line="360" w:lineRule="auto"/>
      </w:pPr>
      <w:r>
        <w:rPr>
          <w:rFonts w:asciiTheme="minorEastAsia" w:hAnsiTheme="minorEastAsia" w:hint="eastAsia"/>
        </w:rPr>
        <w:t>·</w:t>
      </w:r>
      <w:r>
        <w:rPr>
          <w:rFonts w:hint="eastAsia"/>
        </w:rPr>
        <w:t>产品的定义及产品策略五个要素</w:t>
      </w:r>
    </w:p>
    <w:p w14:paraId="08A36BA9" w14:textId="77777777" w:rsidR="006E07B0" w:rsidRDefault="006E07B0" w:rsidP="006E07B0">
      <w:pPr>
        <w:spacing w:line="360" w:lineRule="auto"/>
      </w:pPr>
      <w:r>
        <w:rPr>
          <w:rFonts w:asciiTheme="minorEastAsia" w:hAnsiTheme="minorEastAsia" w:hint="eastAsia"/>
        </w:rPr>
        <w:t>·</w:t>
      </w:r>
      <w:r>
        <w:rPr>
          <w:rFonts w:hint="eastAsia"/>
        </w:rPr>
        <w:t>产品的三个层次</w:t>
      </w:r>
    </w:p>
    <w:p w14:paraId="0065F77C" w14:textId="77777777" w:rsidR="006E07B0" w:rsidRDefault="006E07B0" w:rsidP="006E07B0">
      <w:pPr>
        <w:spacing w:line="360" w:lineRule="auto"/>
      </w:pPr>
      <w:r>
        <w:rPr>
          <w:rFonts w:asciiTheme="minorEastAsia" w:hAnsiTheme="minorEastAsia" w:hint="eastAsia"/>
        </w:rPr>
        <w:t>·</w:t>
      </w:r>
      <w:r>
        <w:rPr>
          <w:rFonts w:hint="eastAsia"/>
        </w:rPr>
        <w:t>“产品—细分市场”的组合策略</w:t>
      </w:r>
    </w:p>
    <w:p w14:paraId="62D3EF4A" w14:textId="77777777" w:rsidR="006E07B0" w:rsidRDefault="006E07B0" w:rsidP="006E07B0">
      <w:pPr>
        <w:spacing w:line="360" w:lineRule="auto"/>
      </w:pPr>
      <w:r>
        <w:rPr>
          <w:rFonts w:asciiTheme="minorEastAsia" w:hAnsiTheme="minorEastAsia" w:hint="eastAsia"/>
        </w:rPr>
        <w:t>·</w:t>
      </w:r>
      <w:r>
        <w:rPr>
          <w:rFonts w:hint="eastAsia"/>
        </w:rPr>
        <w:t>产品线图谱规划</w:t>
      </w:r>
    </w:p>
    <w:p w14:paraId="778FE045" w14:textId="77777777" w:rsidR="006E07B0" w:rsidRDefault="006E07B0" w:rsidP="006E07B0">
      <w:pPr>
        <w:spacing w:line="360" w:lineRule="auto"/>
      </w:pPr>
      <w:r>
        <w:rPr>
          <w:rFonts w:asciiTheme="minorEastAsia" w:hAnsiTheme="minorEastAsia" w:hint="eastAsia"/>
        </w:rPr>
        <w:t>·</w:t>
      </w:r>
      <w:r>
        <w:rPr>
          <w:rFonts w:hint="eastAsia"/>
        </w:rPr>
        <w:t>案例：宝马“产品—细分市场”的组合策略</w:t>
      </w:r>
    </w:p>
    <w:p w14:paraId="659B9EFD" w14:textId="77777777" w:rsidR="006E07B0" w:rsidRDefault="006E07B0" w:rsidP="006E07B0">
      <w:pPr>
        <w:spacing w:line="360" w:lineRule="auto"/>
      </w:pPr>
      <w:r>
        <w:rPr>
          <w:rFonts w:asciiTheme="minorEastAsia" w:hAnsiTheme="minorEastAsia" w:hint="eastAsia"/>
        </w:rPr>
        <w:t>·</w:t>
      </w:r>
      <w:r>
        <w:rPr>
          <w:rFonts w:hint="eastAsia"/>
        </w:rPr>
        <w:t>案例：江淮改装车产品系列规划</w:t>
      </w:r>
    </w:p>
    <w:p w14:paraId="1E2F4DB8" w14:textId="77777777" w:rsidR="006E07B0" w:rsidRDefault="006E07B0" w:rsidP="006E07B0">
      <w:pPr>
        <w:spacing w:line="360" w:lineRule="auto"/>
      </w:pPr>
      <w:r>
        <w:rPr>
          <w:rFonts w:asciiTheme="minorEastAsia" w:hAnsiTheme="minorEastAsia" w:hint="eastAsia"/>
        </w:rPr>
        <w:lastRenderedPageBreak/>
        <w:t>·</w:t>
      </w:r>
      <w:r>
        <w:rPr>
          <w:rFonts w:hint="eastAsia"/>
        </w:rPr>
        <w:t>产品线组合管理策略：形象产品、利润产品、销量产品、防火墙产品</w:t>
      </w:r>
    </w:p>
    <w:p w14:paraId="17C53E59" w14:textId="77777777" w:rsidR="006E07B0" w:rsidRDefault="006E07B0" w:rsidP="006E07B0">
      <w:pPr>
        <w:spacing w:line="360" w:lineRule="auto"/>
      </w:pPr>
      <w:r>
        <w:rPr>
          <w:rFonts w:asciiTheme="minorEastAsia" w:hAnsiTheme="minorEastAsia" w:hint="eastAsia"/>
        </w:rPr>
        <w:t>·</w:t>
      </w:r>
      <w:r>
        <w:rPr>
          <w:rFonts w:hint="eastAsia"/>
        </w:rPr>
        <w:t>产品生命周期管理策略：导入期、成长期、成熟期、衰退期的营销策略</w:t>
      </w:r>
    </w:p>
    <w:p w14:paraId="04F5A025" w14:textId="77777777" w:rsidR="006E07B0" w:rsidRPr="00862C83" w:rsidRDefault="006E07B0" w:rsidP="006E07B0">
      <w:pPr>
        <w:spacing w:line="360" w:lineRule="auto"/>
        <w:rPr>
          <w:color w:val="FF0000"/>
        </w:rPr>
      </w:pPr>
      <w:r w:rsidRPr="00862C83">
        <w:rPr>
          <w:b/>
          <w:color w:val="FF0000"/>
        </w:rPr>
        <w:t>课堂研讨</w:t>
      </w:r>
      <w:r w:rsidRPr="00862C83">
        <w:rPr>
          <w:rFonts w:hint="eastAsia"/>
          <w:b/>
          <w:color w:val="FF0000"/>
        </w:rPr>
        <w:t>：</w:t>
      </w:r>
      <w:r>
        <w:rPr>
          <w:rFonts w:hint="eastAsia"/>
          <w:color w:val="FF0000"/>
        </w:rPr>
        <w:t>确定</w:t>
      </w:r>
      <w:r>
        <w:rPr>
          <w:color w:val="FF0000"/>
        </w:rPr>
        <w:t>公司产品的生命周期及产品组合决策</w:t>
      </w:r>
    </w:p>
    <w:p w14:paraId="5E0D6DAD" w14:textId="77777777" w:rsidR="006E07B0" w:rsidRPr="00862C83" w:rsidRDefault="006E07B0" w:rsidP="006E07B0">
      <w:pPr>
        <w:spacing w:line="360" w:lineRule="auto"/>
      </w:pPr>
    </w:p>
    <w:p w14:paraId="44357591" w14:textId="77777777" w:rsidR="006E07B0" w:rsidRPr="00441038" w:rsidRDefault="006E07B0" w:rsidP="006E07B0">
      <w:pPr>
        <w:spacing w:line="360" w:lineRule="auto"/>
        <w:rPr>
          <w:rFonts w:ascii="微软雅黑" w:eastAsia="微软雅黑" w:hAnsi="微软雅黑"/>
          <w:b/>
        </w:rPr>
      </w:pPr>
      <w:r w:rsidRPr="00441038">
        <w:rPr>
          <w:rFonts w:ascii="微软雅黑" w:eastAsia="微软雅黑" w:hAnsi="微软雅黑" w:hint="eastAsia"/>
          <w:b/>
        </w:rPr>
        <w:t>第五单元 营销组合决策之渠道策略</w:t>
      </w:r>
      <w:r w:rsidRPr="00862C83">
        <w:rPr>
          <w:rFonts w:ascii="微软雅黑" w:eastAsia="微软雅黑" w:hAnsi="微软雅黑" w:hint="eastAsia"/>
          <w:b/>
          <w:color w:val="FF0000"/>
        </w:rPr>
        <w:t>（三天课程才有）</w:t>
      </w:r>
    </w:p>
    <w:p w14:paraId="51EC0ED8" w14:textId="77777777" w:rsidR="006E07B0" w:rsidRDefault="006E07B0" w:rsidP="006E07B0">
      <w:pPr>
        <w:spacing w:line="360" w:lineRule="auto"/>
      </w:pPr>
      <w:r>
        <w:rPr>
          <w:rFonts w:asciiTheme="minorEastAsia" w:hAnsiTheme="minorEastAsia" w:hint="eastAsia"/>
        </w:rPr>
        <w:t>·</w:t>
      </w:r>
      <w:r>
        <w:rPr>
          <w:rFonts w:hint="eastAsia"/>
        </w:rPr>
        <w:t>渠道规划的定义</w:t>
      </w:r>
    </w:p>
    <w:p w14:paraId="68026622" w14:textId="77777777" w:rsidR="006E07B0" w:rsidRDefault="006E07B0" w:rsidP="006E07B0">
      <w:pPr>
        <w:spacing w:line="360" w:lineRule="auto"/>
      </w:pPr>
      <w:r>
        <w:rPr>
          <w:rFonts w:asciiTheme="minorEastAsia" w:hAnsiTheme="minorEastAsia" w:hint="eastAsia"/>
        </w:rPr>
        <w:t>·</w:t>
      </w:r>
      <w:r>
        <w:rPr>
          <w:rFonts w:hint="eastAsia"/>
        </w:rPr>
        <w:t>不同阶段的渠道规划原则</w:t>
      </w:r>
    </w:p>
    <w:p w14:paraId="3F15153F" w14:textId="77777777" w:rsidR="006E07B0" w:rsidRDefault="006E07B0" w:rsidP="006E07B0">
      <w:pPr>
        <w:spacing w:line="360" w:lineRule="auto"/>
      </w:pPr>
      <w:r>
        <w:rPr>
          <w:rFonts w:asciiTheme="minorEastAsia" w:hAnsiTheme="minorEastAsia" w:hint="eastAsia"/>
        </w:rPr>
        <w:t>·</w:t>
      </w:r>
      <w:r>
        <w:rPr>
          <w:rFonts w:hint="eastAsia"/>
        </w:rPr>
        <w:t>影响渠道规划的因素</w:t>
      </w:r>
    </w:p>
    <w:p w14:paraId="26DCE522" w14:textId="77777777" w:rsidR="006E07B0" w:rsidRDefault="006E07B0" w:rsidP="006E07B0">
      <w:pPr>
        <w:spacing w:line="360" w:lineRule="auto"/>
      </w:pPr>
      <w:r>
        <w:rPr>
          <w:rFonts w:asciiTheme="minorEastAsia" w:hAnsiTheme="minorEastAsia" w:hint="eastAsia"/>
        </w:rPr>
        <w:t>·</w:t>
      </w:r>
      <w:r>
        <w:rPr>
          <w:rFonts w:hint="eastAsia"/>
        </w:rPr>
        <w:t>分销渠道规划的三个维度：渠道的长度、宽度和广度</w:t>
      </w:r>
    </w:p>
    <w:p w14:paraId="034F1BA0" w14:textId="77777777" w:rsidR="006E07B0" w:rsidRDefault="006E07B0" w:rsidP="006E07B0">
      <w:pPr>
        <w:spacing w:line="360" w:lineRule="auto"/>
      </w:pPr>
      <w:r>
        <w:rPr>
          <w:rFonts w:asciiTheme="minorEastAsia" w:hAnsiTheme="minorEastAsia" w:hint="eastAsia"/>
        </w:rPr>
        <w:t>·</w:t>
      </w:r>
      <w:r>
        <w:rPr>
          <w:rFonts w:hint="eastAsia"/>
        </w:rPr>
        <w:t>建材行业的三级分销渠道结构</w:t>
      </w:r>
    </w:p>
    <w:p w14:paraId="0CE38D8A" w14:textId="77777777" w:rsidR="006E07B0" w:rsidRDefault="006E07B0" w:rsidP="006E07B0">
      <w:pPr>
        <w:spacing w:line="360" w:lineRule="auto"/>
      </w:pPr>
      <w:r>
        <w:rPr>
          <w:rFonts w:asciiTheme="minorEastAsia" w:hAnsiTheme="minorEastAsia" w:hint="eastAsia"/>
        </w:rPr>
        <w:t>·</w:t>
      </w:r>
      <w:r>
        <w:rPr>
          <w:rFonts w:hint="eastAsia"/>
        </w:rPr>
        <w:t>工业品行业的常见分销渠道结构</w:t>
      </w:r>
    </w:p>
    <w:p w14:paraId="10B99465" w14:textId="77777777" w:rsidR="006E07B0" w:rsidRDefault="006E07B0" w:rsidP="006E07B0">
      <w:pPr>
        <w:spacing w:line="360" w:lineRule="auto"/>
      </w:pPr>
      <w:r>
        <w:rPr>
          <w:rFonts w:asciiTheme="minorEastAsia" w:hAnsiTheme="minorEastAsia" w:hint="eastAsia"/>
        </w:rPr>
        <w:t>·</w:t>
      </w:r>
      <w:r>
        <w:rPr>
          <w:rFonts w:hint="eastAsia"/>
        </w:rPr>
        <w:t>决定渠道长短的四个要素</w:t>
      </w:r>
    </w:p>
    <w:p w14:paraId="3A7EA612" w14:textId="77777777" w:rsidR="006E07B0" w:rsidRDefault="006E07B0" w:rsidP="006E07B0">
      <w:pPr>
        <w:spacing w:line="360" w:lineRule="auto"/>
      </w:pPr>
      <w:r>
        <w:rPr>
          <w:rFonts w:asciiTheme="minorEastAsia" w:hAnsiTheme="minorEastAsia" w:hint="eastAsia"/>
        </w:rPr>
        <w:t>·</w:t>
      </w:r>
      <w:r>
        <w:rPr>
          <w:rFonts w:hint="eastAsia"/>
        </w:rPr>
        <w:t>长短渠道优劣势比较</w:t>
      </w:r>
    </w:p>
    <w:p w14:paraId="27B5E4C2" w14:textId="77777777" w:rsidR="006E07B0" w:rsidRDefault="006E07B0" w:rsidP="006E07B0">
      <w:pPr>
        <w:spacing w:line="360" w:lineRule="auto"/>
      </w:pPr>
      <w:r>
        <w:rPr>
          <w:rFonts w:asciiTheme="minorEastAsia" w:hAnsiTheme="minorEastAsia" w:hint="eastAsia"/>
        </w:rPr>
        <w:t>·</w:t>
      </w:r>
      <w:r>
        <w:rPr>
          <w:rFonts w:hint="eastAsia"/>
        </w:rPr>
        <w:t>不同市场阶段的渠道宽度设计原则</w:t>
      </w:r>
    </w:p>
    <w:p w14:paraId="0815AAF7" w14:textId="77777777" w:rsidR="006E07B0" w:rsidRDefault="006E07B0" w:rsidP="006E07B0">
      <w:pPr>
        <w:spacing w:line="360" w:lineRule="auto"/>
      </w:pPr>
      <w:r>
        <w:rPr>
          <w:rFonts w:asciiTheme="minorEastAsia" w:hAnsiTheme="minorEastAsia" w:hint="eastAsia"/>
        </w:rPr>
        <w:t>·</w:t>
      </w:r>
      <w:r>
        <w:rPr>
          <w:rFonts w:hint="eastAsia"/>
        </w:rPr>
        <w:t>渠道宽窄选择原则</w:t>
      </w:r>
    </w:p>
    <w:p w14:paraId="424C79F5" w14:textId="77777777" w:rsidR="006E07B0" w:rsidRDefault="006E07B0" w:rsidP="006E07B0">
      <w:pPr>
        <w:spacing w:line="360" w:lineRule="auto"/>
      </w:pPr>
      <w:r>
        <w:rPr>
          <w:rFonts w:asciiTheme="minorEastAsia" w:hAnsiTheme="minorEastAsia" w:hint="eastAsia"/>
        </w:rPr>
        <w:t>·</w:t>
      </w:r>
      <w:r>
        <w:rPr>
          <w:rFonts w:hint="eastAsia"/>
        </w:rPr>
        <w:t>独家经销商的三种类型：专销、专营、多品牌</w:t>
      </w:r>
    </w:p>
    <w:p w14:paraId="0AEF76A3" w14:textId="77777777" w:rsidR="006E07B0" w:rsidRDefault="006E07B0" w:rsidP="006E07B0">
      <w:pPr>
        <w:spacing w:line="360" w:lineRule="auto"/>
      </w:pPr>
      <w:r>
        <w:rPr>
          <w:rFonts w:asciiTheme="minorEastAsia" w:hAnsiTheme="minorEastAsia" w:hint="eastAsia"/>
        </w:rPr>
        <w:t>·</w:t>
      </w:r>
      <w:r>
        <w:rPr>
          <w:rFonts w:hint="eastAsia"/>
        </w:rPr>
        <w:t>LG电子的渠道规划模式：不同区域不同模式</w:t>
      </w:r>
    </w:p>
    <w:p w14:paraId="1FA6FB65" w14:textId="77777777" w:rsidR="006E07B0" w:rsidRDefault="006E07B0" w:rsidP="006E07B0">
      <w:pPr>
        <w:spacing w:line="360" w:lineRule="auto"/>
      </w:pPr>
      <w:r>
        <w:rPr>
          <w:rFonts w:asciiTheme="minorEastAsia" w:hAnsiTheme="minorEastAsia" w:hint="eastAsia"/>
        </w:rPr>
        <w:t>·</w:t>
      </w:r>
      <w:r>
        <w:rPr>
          <w:rFonts w:hint="eastAsia"/>
        </w:rPr>
        <w:t>渠道的广度的概念</w:t>
      </w:r>
    </w:p>
    <w:p w14:paraId="640723A9" w14:textId="77777777" w:rsidR="006E07B0" w:rsidRDefault="006E07B0" w:rsidP="006E07B0">
      <w:pPr>
        <w:spacing w:line="360" w:lineRule="auto"/>
      </w:pPr>
      <w:r>
        <w:rPr>
          <w:rFonts w:asciiTheme="minorEastAsia" w:hAnsiTheme="minorEastAsia" w:hint="eastAsia"/>
        </w:rPr>
        <w:t>·</w:t>
      </w:r>
      <w:r>
        <w:rPr>
          <w:rFonts w:hint="eastAsia"/>
        </w:rPr>
        <w:t>案例：壳牌润滑油的渠道广度</w:t>
      </w:r>
    </w:p>
    <w:p w14:paraId="00EFFFA9" w14:textId="77777777" w:rsidR="006E07B0" w:rsidRDefault="006E07B0" w:rsidP="006E07B0">
      <w:pPr>
        <w:spacing w:line="360" w:lineRule="auto"/>
      </w:pPr>
      <w:r>
        <w:rPr>
          <w:rFonts w:asciiTheme="minorEastAsia" w:hAnsiTheme="minorEastAsia" w:hint="eastAsia"/>
        </w:rPr>
        <w:t>·</w:t>
      </w:r>
      <w:r>
        <w:rPr>
          <w:rFonts w:hint="eastAsia"/>
        </w:rPr>
        <w:t>“产品-渠道-市场”三维规划工具</w:t>
      </w:r>
    </w:p>
    <w:p w14:paraId="122FB423" w14:textId="77777777" w:rsidR="006E07B0" w:rsidRDefault="006E07B0" w:rsidP="006E07B0">
      <w:pPr>
        <w:spacing w:line="360" w:lineRule="auto"/>
      </w:pPr>
      <w:r>
        <w:rPr>
          <w:rFonts w:asciiTheme="minorEastAsia" w:hAnsiTheme="minorEastAsia" w:hint="eastAsia"/>
        </w:rPr>
        <w:t>·</w:t>
      </w:r>
      <w:r>
        <w:rPr>
          <w:rFonts w:hint="eastAsia"/>
        </w:rPr>
        <w:t>渠道激励政策的制定：销售目标、渠道分级、返利政策、市场支持、市场保护</w:t>
      </w:r>
    </w:p>
    <w:p w14:paraId="4B1E6FF7" w14:textId="77777777" w:rsidR="006E07B0" w:rsidRPr="00862C83" w:rsidRDefault="006E07B0" w:rsidP="006E07B0">
      <w:pPr>
        <w:spacing w:line="360" w:lineRule="auto"/>
        <w:rPr>
          <w:color w:val="FF0000"/>
        </w:rPr>
      </w:pPr>
      <w:r w:rsidRPr="00862C83">
        <w:rPr>
          <w:b/>
          <w:color w:val="FF0000"/>
        </w:rPr>
        <w:t>课堂研讨</w:t>
      </w:r>
      <w:r w:rsidRPr="00862C83">
        <w:rPr>
          <w:rFonts w:hint="eastAsia"/>
          <w:b/>
          <w:color w:val="FF0000"/>
        </w:rPr>
        <w:t>：</w:t>
      </w:r>
      <w:r>
        <w:rPr>
          <w:rFonts w:hint="eastAsia"/>
          <w:color w:val="FF0000"/>
        </w:rPr>
        <w:t>编制公司未来一年的渠道规划蓝图</w:t>
      </w:r>
    </w:p>
    <w:p w14:paraId="69BA467C" w14:textId="77777777" w:rsidR="006E07B0" w:rsidRPr="00862C83" w:rsidRDefault="006E07B0" w:rsidP="006E07B0">
      <w:pPr>
        <w:spacing w:line="360" w:lineRule="auto"/>
      </w:pPr>
    </w:p>
    <w:p w14:paraId="2A2EECD9" w14:textId="77777777" w:rsidR="006E07B0" w:rsidRPr="00441038" w:rsidRDefault="006E07B0" w:rsidP="006E07B0">
      <w:pPr>
        <w:spacing w:line="360" w:lineRule="auto"/>
        <w:rPr>
          <w:rFonts w:ascii="微软雅黑" w:eastAsia="微软雅黑" w:hAnsi="微软雅黑"/>
          <w:b/>
        </w:rPr>
      </w:pPr>
      <w:r w:rsidRPr="00441038">
        <w:rPr>
          <w:rFonts w:ascii="微软雅黑" w:eastAsia="微软雅黑" w:hAnsi="微软雅黑" w:hint="eastAsia"/>
          <w:b/>
        </w:rPr>
        <w:t>第六单元 营销组合决策之客户关系管理策略</w:t>
      </w:r>
    </w:p>
    <w:p w14:paraId="65410697" w14:textId="77777777" w:rsidR="006E07B0" w:rsidRDefault="006E07B0" w:rsidP="006E07B0">
      <w:pPr>
        <w:spacing w:line="360" w:lineRule="auto"/>
      </w:pPr>
      <w:r>
        <w:rPr>
          <w:rFonts w:asciiTheme="minorEastAsia" w:hAnsiTheme="minorEastAsia" w:hint="eastAsia"/>
        </w:rPr>
        <w:t>·</w:t>
      </w:r>
      <w:r>
        <w:rPr>
          <w:rFonts w:hint="eastAsia"/>
        </w:rPr>
        <w:t>客户管理管理（CRM）的三个层次</w:t>
      </w:r>
    </w:p>
    <w:p w14:paraId="0AA6ACD2" w14:textId="77777777" w:rsidR="006E07B0" w:rsidRDefault="006E07B0" w:rsidP="006E07B0">
      <w:pPr>
        <w:spacing w:line="360" w:lineRule="auto"/>
      </w:pPr>
      <w:r>
        <w:rPr>
          <w:rFonts w:asciiTheme="minorEastAsia" w:hAnsiTheme="minorEastAsia" w:hint="eastAsia"/>
        </w:rPr>
        <w:t>·</w:t>
      </w:r>
      <w:r>
        <w:rPr>
          <w:rFonts w:hint="eastAsia"/>
        </w:rPr>
        <w:t>客户关系管理的三个目标：更多、更长、更久</w:t>
      </w:r>
    </w:p>
    <w:p w14:paraId="37409F39" w14:textId="77777777" w:rsidR="006E07B0" w:rsidRDefault="006E07B0" w:rsidP="006E07B0">
      <w:pPr>
        <w:spacing w:line="360" w:lineRule="auto"/>
      </w:pPr>
      <w:r>
        <w:rPr>
          <w:rFonts w:asciiTheme="minorEastAsia" w:hAnsiTheme="minorEastAsia" w:hint="eastAsia"/>
        </w:rPr>
        <w:t>·</w:t>
      </w:r>
      <w:r>
        <w:rPr>
          <w:rFonts w:hint="eastAsia"/>
        </w:rPr>
        <w:t>客户分等级服务标准</w:t>
      </w:r>
    </w:p>
    <w:p w14:paraId="45292A9E" w14:textId="77777777" w:rsidR="006E07B0" w:rsidRDefault="006E07B0" w:rsidP="006E07B0">
      <w:pPr>
        <w:spacing w:line="360" w:lineRule="auto"/>
      </w:pPr>
      <w:r>
        <w:rPr>
          <w:rFonts w:asciiTheme="minorEastAsia" w:hAnsiTheme="minorEastAsia" w:hint="eastAsia"/>
        </w:rPr>
        <w:t>·</w:t>
      </w:r>
      <w:r>
        <w:rPr>
          <w:rFonts w:hint="eastAsia"/>
        </w:rPr>
        <w:t>案例：施乐的大客户等级结构</w:t>
      </w:r>
    </w:p>
    <w:p w14:paraId="5754D23A" w14:textId="77777777" w:rsidR="006E07B0" w:rsidRDefault="006E07B0" w:rsidP="006E07B0">
      <w:pPr>
        <w:spacing w:line="360" w:lineRule="auto"/>
      </w:pPr>
      <w:r>
        <w:rPr>
          <w:rFonts w:asciiTheme="minorEastAsia" w:hAnsiTheme="minorEastAsia" w:hint="eastAsia"/>
        </w:rPr>
        <w:t>·</w:t>
      </w:r>
      <w:r>
        <w:rPr>
          <w:rFonts w:hint="eastAsia"/>
        </w:rPr>
        <w:t>客户关系管理的四个阶段：考察期、形成期、稳定期、衰退期</w:t>
      </w:r>
    </w:p>
    <w:p w14:paraId="6C11EB4F" w14:textId="77777777" w:rsidR="006E07B0" w:rsidRDefault="006E07B0" w:rsidP="006E07B0">
      <w:pPr>
        <w:spacing w:line="360" w:lineRule="auto"/>
      </w:pPr>
      <w:r>
        <w:rPr>
          <w:rFonts w:asciiTheme="minorEastAsia" w:hAnsiTheme="minorEastAsia" w:hint="eastAsia"/>
        </w:rPr>
        <w:lastRenderedPageBreak/>
        <w:t>·</w:t>
      </w:r>
      <w:r>
        <w:rPr>
          <w:rFonts w:hint="eastAsia"/>
        </w:rPr>
        <w:t>客户满意度提升的策略：提高感知服务与管理期望值</w:t>
      </w:r>
    </w:p>
    <w:p w14:paraId="067D39A7" w14:textId="77777777" w:rsidR="006E07B0" w:rsidRDefault="006E07B0" w:rsidP="006E07B0">
      <w:pPr>
        <w:spacing w:line="360" w:lineRule="auto"/>
      </w:pPr>
      <w:r>
        <w:rPr>
          <w:rFonts w:asciiTheme="minorEastAsia" w:hAnsiTheme="minorEastAsia" w:hint="eastAsia"/>
        </w:rPr>
        <w:t>·</w:t>
      </w:r>
      <w:r>
        <w:rPr>
          <w:rFonts w:hint="eastAsia"/>
        </w:rPr>
        <w:t>客户忠诚度提升的策略：</w:t>
      </w:r>
      <w:r w:rsidRPr="009850BD">
        <w:rPr>
          <w:rFonts w:hint="eastAsia"/>
          <w:color w:val="FF0000"/>
        </w:rPr>
        <w:t>（三天课程才有）</w:t>
      </w:r>
    </w:p>
    <w:p w14:paraId="0D196A34" w14:textId="77777777" w:rsidR="006E07B0" w:rsidRPr="0061374A" w:rsidRDefault="006E07B0" w:rsidP="006E07B0">
      <w:pPr>
        <w:pStyle w:val="a3"/>
        <w:numPr>
          <w:ilvl w:val="0"/>
          <w:numId w:val="1"/>
        </w:numPr>
        <w:spacing w:line="360" w:lineRule="auto"/>
        <w:ind w:firstLineChars="0"/>
        <w:rPr>
          <w:color w:val="FF0000"/>
        </w:rPr>
      </w:pPr>
      <w:r>
        <w:rPr>
          <w:rFonts w:hint="eastAsia"/>
        </w:rPr>
        <w:t>提升客户让渡价值</w:t>
      </w:r>
    </w:p>
    <w:p w14:paraId="230BF8A7" w14:textId="77777777" w:rsidR="006E07B0" w:rsidRDefault="006E07B0" w:rsidP="006E07B0">
      <w:pPr>
        <w:pStyle w:val="a3"/>
        <w:numPr>
          <w:ilvl w:val="0"/>
          <w:numId w:val="1"/>
        </w:numPr>
        <w:spacing w:line="360" w:lineRule="auto"/>
        <w:ind w:firstLineChars="0"/>
      </w:pPr>
      <w:r>
        <w:rPr>
          <w:rFonts w:hint="eastAsia"/>
        </w:rPr>
        <w:t>提升客户关系：组织客户关系+关键客户关系+普遍客户关系</w:t>
      </w:r>
    </w:p>
    <w:p w14:paraId="1D4ED525" w14:textId="77777777" w:rsidR="006E07B0" w:rsidRDefault="006E07B0" w:rsidP="006E07B0">
      <w:pPr>
        <w:spacing w:line="360" w:lineRule="auto"/>
        <w:ind w:firstLineChars="50" w:firstLine="105"/>
      </w:pPr>
      <w:r>
        <w:rPr>
          <w:rFonts w:hint="eastAsia"/>
        </w:rPr>
        <w:t>3）创造差异化的服务体验</w:t>
      </w:r>
    </w:p>
    <w:p w14:paraId="7453A1F0" w14:textId="77777777" w:rsidR="006E07B0" w:rsidRDefault="006E07B0" w:rsidP="006E07B0">
      <w:pPr>
        <w:spacing w:line="360" w:lineRule="auto"/>
        <w:ind w:firstLineChars="100" w:firstLine="210"/>
      </w:pPr>
      <w:r>
        <w:rPr>
          <w:rFonts w:hint="eastAsia"/>
        </w:rPr>
        <w:t>供应商先期介入EVI策略、VMI供应商管理的库存策略及全生命周期服务策略</w:t>
      </w:r>
    </w:p>
    <w:p w14:paraId="4778688D" w14:textId="77777777" w:rsidR="006E07B0" w:rsidRDefault="006E07B0" w:rsidP="006E07B0">
      <w:pPr>
        <w:spacing w:line="360" w:lineRule="auto"/>
      </w:pPr>
      <w:r>
        <w:rPr>
          <w:rFonts w:asciiTheme="minorEastAsia" w:hAnsiTheme="minorEastAsia" w:hint="eastAsia"/>
        </w:rPr>
        <w:t>·</w:t>
      </w:r>
      <w:r>
        <w:rPr>
          <w:rFonts w:hint="eastAsia"/>
        </w:rPr>
        <w:t>案例：霍尼韦尔的零库存服务</w:t>
      </w:r>
    </w:p>
    <w:p w14:paraId="714FC681" w14:textId="77777777" w:rsidR="006E07B0" w:rsidRDefault="006E07B0" w:rsidP="006E07B0">
      <w:pPr>
        <w:spacing w:line="360" w:lineRule="auto"/>
      </w:pPr>
      <w:r>
        <w:rPr>
          <w:rFonts w:asciiTheme="minorEastAsia" w:hAnsiTheme="minorEastAsia" w:hint="eastAsia"/>
        </w:rPr>
        <w:t>·</w:t>
      </w:r>
      <w:r>
        <w:rPr>
          <w:rFonts w:hint="eastAsia"/>
        </w:rPr>
        <w:t>案例：华为云机房解决方案</w:t>
      </w:r>
    </w:p>
    <w:p w14:paraId="1C7F488A" w14:textId="77777777" w:rsidR="006E07B0" w:rsidRDefault="006E07B0" w:rsidP="006E07B0">
      <w:pPr>
        <w:spacing w:line="360" w:lineRule="auto"/>
      </w:pPr>
      <w:r>
        <w:rPr>
          <w:rFonts w:asciiTheme="minorEastAsia" w:hAnsiTheme="minorEastAsia" w:hint="eastAsia"/>
        </w:rPr>
        <w:t>·</w:t>
      </w:r>
      <w:r>
        <w:rPr>
          <w:rFonts w:hint="eastAsia"/>
        </w:rPr>
        <w:t>案例：罗尔斯罗伊斯发动机的全责绩效保障合同服务</w:t>
      </w:r>
    </w:p>
    <w:p w14:paraId="5A0E8B68" w14:textId="77777777" w:rsidR="006E07B0" w:rsidRDefault="006E07B0" w:rsidP="006E07B0">
      <w:pPr>
        <w:spacing w:line="360" w:lineRule="auto"/>
      </w:pPr>
      <w:r>
        <w:rPr>
          <w:rFonts w:asciiTheme="minorEastAsia" w:hAnsiTheme="minorEastAsia" w:hint="eastAsia"/>
        </w:rPr>
        <w:t>·</w:t>
      </w:r>
      <w:r>
        <w:rPr>
          <w:rFonts w:hint="eastAsia"/>
        </w:rPr>
        <w:t>服务模式设计工具：企业价值螺旋与行业价值链分析</w:t>
      </w:r>
    </w:p>
    <w:p w14:paraId="7B06F43D" w14:textId="77777777" w:rsidR="006E07B0" w:rsidRPr="00862C83" w:rsidRDefault="006E07B0" w:rsidP="006E07B0">
      <w:pPr>
        <w:spacing w:line="360" w:lineRule="auto"/>
        <w:rPr>
          <w:color w:val="FF0000"/>
        </w:rPr>
      </w:pPr>
      <w:r w:rsidRPr="00862C83">
        <w:rPr>
          <w:b/>
          <w:color w:val="FF0000"/>
        </w:rPr>
        <w:t>课堂研讨</w:t>
      </w:r>
      <w:r w:rsidRPr="00862C83">
        <w:rPr>
          <w:rFonts w:hint="eastAsia"/>
          <w:b/>
          <w:color w:val="FF0000"/>
        </w:rPr>
        <w:t>：</w:t>
      </w:r>
      <w:r>
        <w:rPr>
          <w:rFonts w:hint="eastAsia"/>
          <w:color w:val="FF0000"/>
        </w:rPr>
        <w:t>设计创新的服务模式，创造差异化客户服务体验</w:t>
      </w:r>
    </w:p>
    <w:p w14:paraId="54D4B1BC" w14:textId="77777777" w:rsidR="006E07B0" w:rsidRPr="009850BD" w:rsidRDefault="006E07B0" w:rsidP="006E07B0">
      <w:pPr>
        <w:spacing w:line="360" w:lineRule="auto"/>
      </w:pPr>
    </w:p>
    <w:p w14:paraId="7EB35096" w14:textId="77777777" w:rsidR="006E07B0" w:rsidRPr="00441038" w:rsidRDefault="006E07B0" w:rsidP="006E07B0">
      <w:pPr>
        <w:spacing w:line="360" w:lineRule="auto"/>
        <w:rPr>
          <w:rFonts w:ascii="微软雅黑" w:eastAsia="微软雅黑" w:hAnsi="微软雅黑"/>
          <w:b/>
        </w:rPr>
      </w:pPr>
      <w:r w:rsidRPr="00441038">
        <w:rPr>
          <w:rFonts w:ascii="微软雅黑" w:eastAsia="微软雅黑" w:hAnsi="微软雅黑" w:hint="eastAsia"/>
          <w:b/>
        </w:rPr>
        <w:t>第</w:t>
      </w:r>
      <w:r>
        <w:rPr>
          <w:rFonts w:ascii="微软雅黑" w:eastAsia="微软雅黑" w:hAnsi="微软雅黑" w:hint="eastAsia"/>
          <w:b/>
        </w:rPr>
        <w:t>七</w:t>
      </w:r>
      <w:r w:rsidRPr="00441038">
        <w:rPr>
          <w:rFonts w:ascii="微软雅黑" w:eastAsia="微软雅黑" w:hAnsi="微软雅黑" w:hint="eastAsia"/>
          <w:b/>
        </w:rPr>
        <w:t>单元 营销组合决策之推广策略</w:t>
      </w:r>
      <w:r w:rsidRPr="000D2FB3">
        <w:rPr>
          <w:rFonts w:ascii="微软雅黑" w:eastAsia="微软雅黑" w:hAnsi="微软雅黑" w:hint="eastAsia"/>
          <w:b/>
          <w:color w:val="FF0000"/>
        </w:rPr>
        <w:t>（三天课程才有）</w:t>
      </w:r>
    </w:p>
    <w:p w14:paraId="40277BC9" w14:textId="77777777" w:rsidR="006E07B0" w:rsidRDefault="006E07B0" w:rsidP="006E07B0">
      <w:pPr>
        <w:spacing w:line="360" w:lineRule="auto"/>
        <w:rPr>
          <w:rFonts w:asciiTheme="minorEastAsia" w:hAnsiTheme="minorEastAsia"/>
          <w:szCs w:val="21"/>
        </w:rPr>
      </w:pPr>
      <w:r>
        <w:rPr>
          <w:rFonts w:asciiTheme="minorEastAsia" w:hAnsiTheme="minorEastAsia" w:hint="eastAsia"/>
        </w:rPr>
        <w:t>·</w:t>
      </w:r>
      <w:r>
        <w:rPr>
          <w:rFonts w:asciiTheme="minorEastAsia" w:hAnsiTheme="minorEastAsia" w:hint="eastAsia"/>
          <w:szCs w:val="21"/>
        </w:rPr>
        <w:t>IMC整合营销传播的概念</w:t>
      </w:r>
    </w:p>
    <w:p w14:paraId="45C49A12" w14:textId="77777777" w:rsidR="006E07B0" w:rsidRDefault="006E07B0" w:rsidP="006E07B0">
      <w:pPr>
        <w:spacing w:line="360" w:lineRule="auto"/>
        <w:rPr>
          <w:rFonts w:asciiTheme="minorEastAsia" w:hAnsiTheme="minorEastAsia"/>
        </w:rPr>
      </w:pPr>
      <w:r>
        <w:rPr>
          <w:rFonts w:asciiTheme="minorEastAsia" w:hAnsiTheme="minorEastAsia" w:hint="eastAsia"/>
        </w:rPr>
        <w:t>·整合营销传播的七个原则</w:t>
      </w:r>
    </w:p>
    <w:p w14:paraId="22578C64" w14:textId="77777777" w:rsidR="006E07B0" w:rsidRDefault="006E07B0" w:rsidP="006E07B0">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新产品发布会与技术交流会</w:t>
      </w:r>
    </w:p>
    <w:p w14:paraId="13B1A8BB" w14:textId="77777777" w:rsidR="006E07B0" w:rsidRPr="007C6105" w:rsidRDefault="006E07B0" w:rsidP="006E07B0">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产品展示与演示技巧</w:t>
      </w:r>
    </w:p>
    <w:p w14:paraId="21A2BD97" w14:textId="77777777" w:rsidR="006E07B0" w:rsidRPr="000E68E2" w:rsidRDefault="006E07B0" w:rsidP="006E07B0">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研讨会与技术培训</w:t>
      </w:r>
    </w:p>
    <w:p w14:paraId="7B501169" w14:textId="77777777" w:rsidR="006E07B0" w:rsidRPr="007C6105" w:rsidRDefault="006E07B0" w:rsidP="006E07B0">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竞赛与论文推广</w:t>
      </w:r>
    </w:p>
    <w:p w14:paraId="49B8D4E4" w14:textId="77777777" w:rsidR="006E07B0" w:rsidRPr="007C6105" w:rsidRDefault="006E07B0" w:rsidP="006E07B0">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品牌内刊与文化营销</w:t>
      </w:r>
    </w:p>
    <w:p w14:paraId="52CC1075" w14:textId="77777777" w:rsidR="006E07B0" w:rsidRPr="000E68E2" w:rsidRDefault="006E07B0" w:rsidP="006E07B0">
      <w:pPr>
        <w:spacing w:line="360" w:lineRule="auto"/>
        <w:rPr>
          <w:rFonts w:asciiTheme="minorEastAsia" w:hAnsiTheme="minorEastAsia"/>
          <w:szCs w:val="21"/>
        </w:rPr>
      </w:pPr>
      <w:r>
        <w:rPr>
          <w:rFonts w:asciiTheme="minorEastAsia" w:hAnsiTheme="minorEastAsia" w:hint="eastAsia"/>
        </w:rPr>
        <w:t>·</w:t>
      </w:r>
      <w:r w:rsidRPr="000E68E2">
        <w:rPr>
          <w:rFonts w:asciiTheme="minorEastAsia" w:hAnsiTheme="minorEastAsia" w:hint="eastAsia"/>
          <w:szCs w:val="21"/>
        </w:rPr>
        <w:t>公共关系与事件营销</w:t>
      </w:r>
    </w:p>
    <w:p w14:paraId="79A04C57" w14:textId="77777777" w:rsidR="006E07B0" w:rsidRPr="000E68E2" w:rsidRDefault="006E07B0" w:rsidP="006E07B0">
      <w:pPr>
        <w:spacing w:line="360" w:lineRule="auto"/>
        <w:rPr>
          <w:rFonts w:asciiTheme="minorEastAsia" w:hAnsiTheme="minorEastAsia"/>
          <w:szCs w:val="21"/>
        </w:rPr>
      </w:pPr>
      <w:r>
        <w:rPr>
          <w:rFonts w:asciiTheme="minorEastAsia" w:hAnsiTheme="minorEastAsia" w:hint="eastAsia"/>
        </w:rPr>
        <w:t>·</w:t>
      </w:r>
      <w:r>
        <w:rPr>
          <w:rFonts w:asciiTheme="minorEastAsia" w:hAnsiTheme="minorEastAsia" w:hint="eastAsia"/>
          <w:szCs w:val="21"/>
        </w:rPr>
        <w:t>数字化</w:t>
      </w:r>
      <w:r w:rsidRPr="000E68E2">
        <w:rPr>
          <w:rFonts w:asciiTheme="minorEastAsia" w:hAnsiTheme="minorEastAsia" w:hint="eastAsia"/>
          <w:szCs w:val="21"/>
        </w:rPr>
        <w:t>营销</w:t>
      </w:r>
      <w:r>
        <w:rPr>
          <w:rFonts w:asciiTheme="minorEastAsia" w:hAnsiTheme="minorEastAsia" w:hint="eastAsia"/>
          <w:szCs w:val="21"/>
        </w:rPr>
        <w:t>与社会化媒体</w:t>
      </w:r>
    </w:p>
    <w:p w14:paraId="159D9EC4" w14:textId="77777777" w:rsidR="006E07B0" w:rsidRDefault="006E07B0" w:rsidP="006E07B0">
      <w:pPr>
        <w:spacing w:line="360" w:lineRule="auto"/>
        <w:rPr>
          <w:rFonts w:asciiTheme="minorEastAsia" w:hAnsiTheme="minorEastAsia"/>
          <w:szCs w:val="21"/>
        </w:rPr>
      </w:pPr>
      <w:r>
        <w:rPr>
          <w:rFonts w:asciiTheme="minorEastAsia" w:hAnsiTheme="minorEastAsia" w:hint="eastAsia"/>
        </w:rPr>
        <w:t>·年度</w:t>
      </w:r>
      <w:r>
        <w:rPr>
          <w:rFonts w:asciiTheme="minorEastAsia" w:hAnsiTheme="minorEastAsia" w:hint="eastAsia"/>
          <w:szCs w:val="21"/>
        </w:rPr>
        <w:t>整合营销传播计划工具</w:t>
      </w:r>
    </w:p>
    <w:p w14:paraId="5AE0941A" w14:textId="77777777" w:rsidR="006E07B0" w:rsidRPr="007C6105" w:rsidRDefault="006E07B0" w:rsidP="006E07B0">
      <w:pPr>
        <w:spacing w:line="360" w:lineRule="auto"/>
      </w:pPr>
    </w:p>
    <w:p w14:paraId="749E8D8C" w14:textId="77777777" w:rsidR="006E07B0" w:rsidRPr="007C6105" w:rsidRDefault="006E07B0" w:rsidP="006E07B0">
      <w:pPr>
        <w:spacing w:line="360" w:lineRule="auto"/>
        <w:rPr>
          <w:rFonts w:ascii="微软雅黑" w:eastAsia="微软雅黑" w:hAnsi="微软雅黑"/>
          <w:b/>
        </w:rPr>
      </w:pPr>
      <w:r w:rsidRPr="007C6105">
        <w:rPr>
          <w:rFonts w:ascii="微软雅黑" w:eastAsia="微软雅黑" w:hAnsi="微软雅黑" w:hint="eastAsia"/>
          <w:b/>
        </w:rPr>
        <w:t>第</w:t>
      </w:r>
      <w:r>
        <w:rPr>
          <w:rFonts w:ascii="微软雅黑" w:eastAsia="微软雅黑" w:hAnsi="微软雅黑" w:hint="eastAsia"/>
          <w:b/>
        </w:rPr>
        <w:t>八</w:t>
      </w:r>
      <w:r w:rsidRPr="007C6105">
        <w:rPr>
          <w:rFonts w:ascii="微软雅黑" w:eastAsia="微软雅黑" w:hAnsi="微软雅黑" w:hint="eastAsia"/>
          <w:b/>
        </w:rPr>
        <w:t>单元 营销组合决策之定价策略</w:t>
      </w:r>
    </w:p>
    <w:p w14:paraId="01A9277A" w14:textId="77777777" w:rsidR="006E07B0" w:rsidRDefault="006E07B0" w:rsidP="006E07B0">
      <w:pPr>
        <w:spacing w:line="360" w:lineRule="auto"/>
      </w:pPr>
      <w:r>
        <w:rPr>
          <w:rFonts w:asciiTheme="minorEastAsia" w:hAnsiTheme="minorEastAsia" w:hint="eastAsia"/>
        </w:rPr>
        <w:t>·</w:t>
      </w:r>
      <w:r>
        <w:rPr>
          <w:rFonts w:hint="eastAsia"/>
        </w:rPr>
        <w:t>价格政策与价格体系需要解决的三个问题</w:t>
      </w:r>
    </w:p>
    <w:p w14:paraId="515C3149" w14:textId="77777777" w:rsidR="006E07B0" w:rsidRDefault="006E07B0" w:rsidP="006E07B0">
      <w:pPr>
        <w:spacing w:line="360" w:lineRule="auto"/>
      </w:pPr>
      <w:r>
        <w:rPr>
          <w:rFonts w:asciiTheme="minorEastAsia" w:hAnsiTheme="minorEastAsia" w:hint="eastAsia"/>
        </w:rPr>
        <w:t>·</w:t>
      </w:r>
      <w:r>
        <w:rPr>
          <w:rFonts w:hint="eastAsia"/>
        </w:rPr>
        <w:t xml:space="preserve">索尼创始人盛田昭夫：定价即经营 </w:t>
      </w:r>
    </w:p>
    <w:p w14:paraId="58DB9FAD" w14:textId="77777777" w:rsidR="006E07B0" w:rsidRDefault="006E07B0" w:rsidP="006E07B0">
      <w:pPr>
        <w:spacing w:line="360" w:lineRule="auto"/>
      </w:pPr>
      <w:r>
        <w:rPr>
          <w:rFonts w:asciiTheme="minorEastAsia" w:hAnsiTheme="minorEastAsia" w:hint="eastAsia"/>
        </w:rPr>
        <w:t>·</w:t>
      </w:r>
      <w:r>
        <w:rPr>
          <w:rFonts w:hint="eastAsia"/>
        </w:rPr>
        <w:t>价格变动与利润变动之间的关系</w:t>
      </w:r>
    </w:p>
    <w:p w14:paraId="7C899333" w14:textId="77777777" w:rsidR="006E07B0" w:rsidRDefault="006E07B0" w:rsidP="006E07B0">
      <w:pPr>
        <w:spacing w:line="360" w:lineRule="auto"/>
      </w:pPr>
      <w:r>
        <w:rPr>
          <w:rFonts w:asciiTheme="minorEastAsia" w:hAnsiTheme="minorEastAsia" w:hint="eastAsia"/>
        </w:rPr>
        <w:t>·</w:t>
      </w:r>
      <w:r>
        <w:rPr>
          <w:rFonts w:hint="eastAsia"/>
        </w:rPr>
        <w:t>价格变动和销售额变动之间的关系</w:t>
      </w:r>
    </w:p>
    <w:p w14:paraId="44E1062F" w14:textId="77777777" w:rsidR="006E07B0" w:rsidRDefault="006E07B0" w:rsidP="006E07B0">
      <w:pPr>
        <w:spacing w:line="360" w:lineRule="auto"/>
      </w:pPr>
      <w:r>
        <w:rPr>
          <w:rFonts w:asciiTheme="minorEastAsia" w:hAnsiTheme="minorEastAsia" w:hint="eastAsia"/>
        </w:rPr>
        <w:lastRenderedPageBreak/>
        <w:t>·</w:t>
      </w:r>
      <w:r>
        <w:rPr>
          <w:rFonts w:hint="eastAsia"/>
        </w:rPr>
        <w:t>定价金字塔：战略定价与战术定价</w:t>
      </w:r>
    </w:p>
    <w:p w14:paraId="07B72041" w14:textId="77777777" w:rsidR="006E07B0" w:rsidRDefault="006E07B0" w:rsidP="006E07B0">
      <w:pPr>
        <w:spacing w:line="360" w:lineRule="auto"/>
      </w:pPr>
      <w:r>
        <w:rPr>
          <w:rFonts w:asciiTheme="minorEastAsia" w:hAnsiTheme="minorEastAsia" w:hint="eastAsia"/>
        </w:rPr>
        <w:t>·</w:t>
      </w:r>
      <w:r>
        <w:rPr>
          <w:rFonts w:hint="eastAsia"/>
        </w:rPr>
        <w:t>f(价值)=价格：价格是价值的函数</w:t>
      </w:r>
    </w:p>
    <w:p w14:paraId="175D15AA" w14:textId="77777777" w:rsidR="006E07B0" w:rsidRDefault="006E07B0" w:rsidP="006E07B0">
      <w:pPr>
        <w:spacing w:line="360" w:lineRule="auto"/>
      </w:pPr>
      <w:r>
        <w:rPr>
          <w:rFonts w:asciiTheme="minorEastAsia" w:hAnsiTheme="minorEastAsia" w:hint="eastAsia"/>
        </w:rPr>
        <w:t>·</w:t>
      </w:r>
      <w:r>
        <w:rPr>
          <w:rFonts w:hint="eastAsia"/>
        </w:rPr>
        <w:t>战略定价的三个步骤</w:t>
      </w:r>
    </w:p>
    <w:p w14:paraId="6914C923" w14:textId="77777777" w:rsidR="006E07B0" w:rsidRDefault="006E07B0" w:rsidP="006E07B0">
      <w:pPr>
        <w:spacing w:line="360" w:lineRule="auto"/>
      </w:pPr>
      <w:r>
        <w:rPr>
          <w:rFonts w:asciiTheme="minorEastAsia" w:hAnsiTheme="minorEastAsia" w:hint="eastAsia"/>
        </w:rPr>
        <w:t>·</w:t>
      </w:r>
      <w:r>
        <w:rPr>
          <w:rFonts w:hint="eastAsia"/>
        </w:rPr>
        <w:t>战略定价的思考步骤1：品牌定位</w:t>
      </w:r>
    </w:p>
    <w:p w14:paraId="5D752E43" w14:textId="77777777" w:rsidR="006E07B0" w:rsidRDefault="006E07B0" w:rsidP="006E07B0">
      <w:pPr>
        <w:spacing w:line="360" w:lineRule="auto"/>
      </w:pPr>
      <w:r>
        <w:rPr>
          <w:rFonts w:asciiTheme="minorEastAsia" w:hAnsiTheme="minorEastAsia" w:hint="eastAsia"/>
        </w:rPr>
        <w:t>·</w:t>
      </w:r>
      <w:r>
        <w:rPr>
          <w:rFonts w:hint="eastAsia"/>
        </w:rPr>
        <w:t>战略定价的思考步骤2：定价的战略意图</w:t>
      </w:r>
    </w:p>
    <w:p w14:paraId="737CA56A" w14:textId="77777777" w:rsidR="006E07B0" w:rsidRDefault="006E07B0" w:rsidP="006E07B0">
      <w:pPr>
        <w:spacing w:line="360" w:lineRule="auto"/>
      </w:pPr>
      <w:r>
        <w:rPr>
          <w:rFonts w:asciiTheme="minorEastAsia" w:hAnsiTheme="minorEastAsia" w:hint="eastAsia"/>
        </w:rPr>
        <w:t>·</w:t>
      </w:r>
      <w:r>
        <w:rPr>
          <w:rFonts w:hint="eastAsia"/>
        </w:rPr>
        <w:t>战略定价的思考步骤3：市场竞争定位</w:t>
      </w:r>
    </w:p>
    <w:p w14:paraId="0FE2D4FD" w14:textId="77777777" w:rsidR="006E07B0" w:rsidRDefault="006E07B0" w:rsidP="006E07B0">
      <w:pPr>
        <w:spacing w:line="360" w:lineRule="auto"/>
      </w:pPr>
      <w:r>
        <w:rPr>
          <w:rFonts w:asciiTheme="minorEastAsia" w:hAnsiTheme="minorEastAsia" w:hint="eastAsia"/>
        </w:rPr>
        <w:t>·</w:t>
      </w:r>
      <w:r>
        <w:rPr>
          <w:rFonts w:hint="eastAsia"/>
        </w:rPr>
        <w:t>六种典型的定价策略</w:t>
      </w:r>
    </w:p>
    <w:p w14:paraId="0C119C98" w14:textId="77777777" w:rsidR="006E07B0" w:rsidRDefault="006E07B0" w:rsidP="006E07B0">
      <w:pPr>
        <w:spacing w:line="360" w:lineRule="auto"/>
      </w:pPr>
      <w:r>
        <w:rPr>
          <w:rFonts w:hint="eastAsia"/>
        </w:rPr>
        <w:t>1）成本加成定价法(Markup Pricing)</w:t>
      </w:r>
    </w:p>
    <w:p w14:paraId="1AB12CEB" w14:textId="77777777" w:rsidR="006E07B0" w:rsidRDefault="006E07B0" w:rsidP="006E07B0">
      <w:pPr>
        <w:spacing w:line="360" w:lineRule="auto"/>
      </w:pPr>
      <w:r>
        <w:rPr>
          <w:rFonts w:hint="eastAsia"/>
        </w:rPr>
        <w:t>2）目标利润定价法(Target-Return Pricing)</w:t>
      </w:r>
    </w:p>
    <w:p w14:paraId="1A14E19B" w14:textId="77777777" w:rsidR="006E07B0" w:rsidRDefault="006E07B0" w:rsidP="006E07B0">
      <w:pPr>
        <w:spacing w:line="360" w:lineRule="auto"/>
      </w:pPr>
      <w:r>
        <w:rPr>
          <w:rFonts w:hint="eastAsia"/>
        </w:rPr>
        <w:t xml:space="preserve">3）认知价值定价法(Perceived-Value Pricing) </w:t>
      </w:r>
    </w:p>
    <w:p w14:paraId="2E1FAD8F" w14:textId="77777777" w:rsidR="006E07B0" w:rsidRDefault="006E07B0" w:rsidP="006E07B0">
      <w:pPr>
        <w:spacing w:line="360" w:lineRule="auto"/>
      </w:pPr>
      <w:r>
        <w:rPr>
          <w:rFonts w:hint="eastAsia"/>
        </w:rPr>
        <w:t xml:space="preserve">4）价值定价法(Value Pricing)       </w:t>
      </w:r>
    </w:p>
    <w:p w14:paraId="10520DE9" w14:textId="77777777" w:rsidR="006E07B0" w:rsidRDefault="006E07B0" w:rsidP="006E07B0">
      <w:pPr>
        <w:spacing w:line="360" w:lineRule="auto"/>
      </w:pPr>
      <w:r>
        <w:rPr>
          <w:rFonts w:hint="eastAsia"/>
        </w:rPr>
        <w:t xml:space="preserve">5）通行价格定价法 (Going-Rate Pricing)   </w:t>
      </w:r>
    </w:p>
    <w:p w14:paraId="36EC57A5" w14:textId="77777777" w:rsidR="006E07B0" w:rsidRDefault="006E07B0" w:rsidP="006E07B0">
      <w:pPr>
        <w:spacing w:line="360" w:lineRule="auto"/>
      </w:pPr>
      <w:r>
        <w:rPr>
          <w:rFonts w:hint="eastAsia"/>
        </w:rPr>
        <w:t xml:space="preserve">6）边际贡献定价法   </w:t>
      </w:r>
    </w:p>
    <w:p w14:paraId="23EB3108" w14:textId="77777777" w:rsidR="006E07B0" w:rsidRDefault="006E07B0" w:rsidP="006E07B0">
      <w:pPr>
        <w:spacing w:line="360" w:lineRule="auto"/>
      </w:pPr>
      <w:r>
        <w:rPr>
          <w:rFonts w:asciiTheme="minorEastAsia" w:hAnsiTheme="minorEastAsia" w:hint="eastAsia"/>
        </w:rPr>
        <w:t>·</w:t>
      </w:r>
      <w:r>
        <w:rPr>
          <w:rFonts w:hint="eastAsia"/>
        </w:rPr>
        <w:t>案例：LONSTAR水泥公司定价策略案例</w:t>
      </w:r>
    </w:p>
    <w:p w14:paraId="10C4BC74" w14:textId="77777777" w:rsidR="006E07B0" w:rsidRDefault="006E07B0" w:rsidP="006E07B0">
      <w:pPr>
        <w:spacing w:line="360" w:lineRule="auto"/>
      </w:pPr>
      <w:r>
        <w:rPr>
          <w:rFonts w:asciiTheme="minorEastAsia" w:hAnsiTheme="minorEastAsia" w:hint="eastAsia"/>
        </w:rPr>
        <w:t>·</w:t>
      </w:r>
      <w:r>
        <w:rPr>
          <w:rFonts w:hint="eastAsia"/>
        </w:rPr>
        <w:t>五种价格修正策略</w:t>
      </w:r>
    </w:p>
    <w:p w14:paraId="667E589F" w14:textId="77777777" w:rsidR="006E07B0" w:rsidRDefault="006E07B0" w:rsidP="006E07B0">
      <w:pPr>
        <w:spacing w:line="360" w:lineRule="auto"/>
      </w:pPr>
      <w:r>
        <w:rPr>
          <w:rFonts w:asciiTheme="minorEastAsia" w:hAnsiTheme="minorEastAsia" w:hint="eastAsia"/>
        </w:rPr>
        <w:t>·</w:t>
      </w:r>
      <w:r>
        <w:rPr>
          <w:rFonts w:hint="eastAsia"/>
        </w:rPr>
        <w:t>价格的调整：不同产品生命周期的定价原则</w:t>
      </w:r>
    </w:p>
    <w:p w14:paraId="181ACB98" w14:textId="77777777" w:rsidR="006E07B0" w:rsidRDefault="006E07B0" w:rsidP="006E07B0">
      <w:pPr>
        <w:spacing w:line="360" w:lineRule="auto"/>
      </w:pPr>
      <w:r>
        <w:rPr>
          <w:rFonts w:asciiTheme="minorEastAsia" w:hAnsiTheme="minorEastAsia" w:hint="eastAsia"/>
        </w:rPr>
        <w:t>·</w:t>
      </w:r>
      <w:r>
        <w:rPr>
          <w:rFonts w:hint="eastAsia"/>
        </w:rPr>
        <w:t>价格调整的策略：如何策略性涨价？如何策略性降价？</w:t>
      </w:r>
    </w:p>
    <w:p w14:paraId="5701350C" w14:textId="77777777" w:rsidR="006E07B0" w:rsidRDefault="006E07B0" w:rsidP="006E07B0">
      <w:pPr>
        <w:spacing w:line="360" w:lineRule="auto"/>
      </w:pPr>
    </w:p>
    <w:p w14:paraId="645CFB5A" w14:textId="77777777" w:rsidR="006E07B0" w:rsidRPr="007C6105" w:rsidRDefault="006E07B0" w:rsidP="006E07B0">
      <w:pPr>
        <w:spacing w:line="360" w:lineRule="auto"/>
        <w:rPr>
          <w:rFonts w:ascii="微软雅黑" w:eastAsia="微软雅黑" w:hAnsi="微软雅黑"/>
          <w:b/>
        </w:rPr>
      </w:pPr>
      <w:r w:rsidRPr="007C6105">
        <w:rPr>
          <w:rFonts w:ascii="微软雅黑" w:eastAsia="微软雅黑" w:hAnsi="微软雅黑" w:hint="eastAsia"/>
          <w:b/>
        </w:rPr>
        <w:t>第</w:t>
      </w:r>
      <w:r>
        <w:rPr>
          <w:rFonts w:ascii="微软雅黑" w:eastAsia="微软雅黑" w:hAnsi="微软雅黑" w:hint="eastAsia"/>
          <w:b/>
        </w:rPr>
        <w:t>九</w:t>
      </w:r>
      <w:r w:rsidRPr="007C6105">
        <w:rPr>
          <w:rFonts w:ascii="微软雅黑" w:eastAsia="微软雅黑" w:hAnsi="微软雅黑" w:hint="eastAsia"/>
          <w:b/>
        </w:rPr>
        <w:t>单元 营销组织调整、目标分解及营销预算</w:t>
      </w:r>
    </w:p>
    <w:p w14:paraId="5E239E69" w14:textId="77777777" w:rsidR="006E07B0" w:rsidRDefault="006E07B0" w:rsidP="006E07B0">
      <w:pPr>
        <w:spacing w:line="360" w:lineRule="auto"/>
      </w:pPr>
      <w:r>
        <w:rPr>
          <w:rFonts w:asciiTheme="minorEastAsia" w:hAnsiTheme="minorEastAsia" w:hint="eastAsia"/>
        </w:rPr>
        <w:t>·</w:t>
      </w:r>
      <w:r>
        <w:rPr>
          <w:rFonts w:hint="eastAsia"/>
        </w:rPr>
        <w:t>战略与组织设计、流程设计、绩效考核之间的关系</w:t>
      </w:r>
    </w:p>
    <w:p w14:paraId="1780FF82" w14:textId="77777777" w:rsidR="006E07B0" w:rsidRDefault="006E07B0" w:rsidP="006E07B0">
      <w:pPr>
        <w:spacing w:line="360" w:lineRule="auto"/>
      </w:pPr>
      <w:r>
        <w:rPr>
          <w:rFonts w:asciiTheme="minorEastAsia" w:hAnsiTheme="minorEastAsia" w:hint="eastAsia"/>
        </w:rPr>
        <w:t>·</w:t>
      </w:r>
      <w:r>
        <w:rPr>
          <w:rFonts w:hint="eastAsia"/>
        </w:rPr>
        <w:t>以战略为核心的组织设计原则</w:t>
      </w:r>
    </w:p>
    <w:p w14:paraId="4AD6DE24" w14:textId="77777777" w:rsidR="006E07B0" w:rsidRDefault="006E07B0" w:rsidP="006E07B0">
      <w:pPr>
        <w:spacing w:line="360" w:lineRule="auto"/>
      </w:pPr>
      <w:r>
        <w:rPr>
          <w:rFonts w:asciiTheme="minorEastAsia" w:hAnsiTheme="minorEastAsia" w:hint="eastAsia"/>
        </w:rPr>
        <w:t>·</w:t>
      </w:r>
      <w:r>
        <w:rPr>
          <w:rFonts w:hint="eastAsia"/>
        </w:rPr>
        <w:t>企业不同发展阶段的组织调整思路</w:t>
      </w:r>
    </w:p>
    <w:p w14:paraId="3014E298" w14:textId="77777777" w:rsidR="006E07B0" w:rsidRDefault="006E07B0" w:rsidP="006E07B0">
      <w:pPr>
        <w:spacing w:line="360" w:lineRule="auto"/>
      </w:pPr>
      <w:r>
        <w:rPr>
          <w:rFonts w:asciiTheme="minorEastAsia" w:hAnsiTheme="minorEastAsia" w:hint="eastAsia"/>
        </w:rPr>
        <w:t>·</w:t>
      </w:r>
      <w:r>
        <w:rPr>
          <w:rFonts w:hint="eastAsia"/>
        </w:rPr>
        <w:t>四种典型的营销组织模式：职能型、产品型、区域型、顾客型</w:t>
      </w:r>
    </w:p>
    <w:p w14:paraId="2C45C10E" w14:textId="77777777" w:rsidR="006E07B0" w:rsidRDefault="006E07B0" w:rsidP="006E07B0">
      <w:pPr>
        <w:spacing w:line="360" w:lineRule="auto"/>
      </w:pPr>
      <w:r>
        <w:rPr>
          <w:rFonts w:asciiTheme="minorEastAsia" w:hAnsiTheme="minorEastAsia" w:hint="eastAsia"/>
        </w:rPr>
        <w:t>·</w:t>
      </w:r>
      <w:r>
        <w:rPr>
          <w:rFonts w:hint="eastAsia"/>
        </w:rPr>
        <w:t>集权型混合组织模式设计理念</w:t>
      </w:r>
    </w:p>
    <w:p w14:paraId="0B0BF5C7" w14:textId="77777777" w:rsidR="006E07B0" w:rsidRDefault="006E07B0" w:rsidP="006E07B0">
      <w:pPr>
        <w:spacing w:line="360" w:lineRule="auto"/>
      </w:pPr>
      <w:r>
        <w:rPr>
          <w:rFonts w:asciiTheme="minorEastAsia" w:hAnsiTheme="minorEastAsia" w:hint="eastAsia"/>
        </w:rPr>
        <w:t>·</w:t>
      </w:r>
      <w:r>
        <w:rPr>
          <w:rFonts w:hint="eastAsia"/>
        </w:rPr>
        <w:t>分权型矩阵组织模式设计理念</w:t>
      </w:r>
    </w:p>
    <w:p w14:paraId="64E095E7" w14:textId="77777777" w:rsidR="006E07B0" w:rsidRDefault="006E07B0" w:rsidP="006E07B0">
      <w:pPr>
        <w:spacing w:line="360" w:lineRule="auto"/>
      </w:pPr>
      <w:r>
        <w:rPr>
          <w:rFonts w:asciiTheme="minorEastAsia" w:hAnsiTheme="minorEastAsia" w:hint="eastAsia"/>
        </w:rPr>
        <w:t>·</w:t>
      </w:r>
      <w:r>
        <w:rPr>
          <w:rFonts w:hint="eastAsia"/>
        </w:rPr>
        <w:t>案例：ABB中国的矩阵式营销组织</w:t>
      </w:r>
    </w:p>
    <w:p w14:paraId="16E3AB1E" w14:textId="77777777" w:rsidR="006E07B0" w:rsidRDefault="006E07B0" w:rsidP="006E07B0">
      <w:pPr>
        <w:spacing w:line="360" w:lineRule="auto"/>
      </w:pPr>
      <w:r>
        <w:rPr>
          <w:rFonts w:asciiTheme="minorEastAsia" w:hAnsiTheme="minorEastAsia" w:hint="eastAsia"/>
        </w:rPr>
        <w:t>·</w:t>
      </w:r>
      <w:r>
        <w:rPr>
          <w:rFonts w:hint="eastAsia"/>
        </w:rPr>
        <w:t>营销目标的逐级分解模式</w:t>
      </w:r>
    </w:p>
    <w:p w14:paraId="37285C77" w14:textId="77777777" w:rsidR="006E07B0" w:rsidRDefault="006E07B0" w:rsidP="006E07B0">
      <w:pPr>
        <w:spacing w:line="360" w:lineRule="auto"/>
      </w:pPr>
      <w:r>
        <w:rPr>
          <w:rFonts w:asciiTheme="minorEastAsia" w:hAnsiTheme="minorEastAsia" w:hint="eastAsia"/>
        </w:rPr>
        <w:t>·</w:t>
      </w:r>
      <w:r>
        <w:rPr>
          <w:rFonts w:hint="eastAsia"/>
        </w:rPr>
        <w:t>营销目标的预测模型</w:t>
      </w:r>
      <w:r>
        <w:rPr>
          <w:rFonts w:asciiTheme="minorEastAsia" w:hAnsiTheme="minorEastAsia" w:hint="eastAsia"/>
        </w:rPr>
        <w:t>·</w:t>
      </w:r>
      <w:r>
        <w:rPr>
          <w:rFonts w:hint="eastAsia"/>
        </w:rPr>
        <w:t>营销预算的编制：目标进度、人员编制预算、费用预算</w:t>
      </w:r>
    </w:p>
    <w:p w14:paraId="0B50C6F8" w14:textId="77777777" w:rsidR="00EB4FAE" w:rsidRPr="006E07B0" w:rsidRDefault="00EB4FAE"/>
    <w:sectPr w:rsidR="00EB4FAE" w:rsidRPr="006E07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C02D1D"/>
    <w:multiLevelType w:val="hybridMultilevel"/>
    <w:tmpl w:val="06205C76"/>
    <w:lvl w:ilvl="0" w:tplc="A10E3FAC">
      <w:start w:val="1"/>
      <w:numFmt w:val="decimal"/>
      <w:lvlText w:val="%1）"/>
      <w:lvlJc w:val="left"/>
      <w:pPr>
        <w:ind w:left="465" w:hanging="360"/>
      </w:pPr>
      <w:rPr>
        <w:rFonts w:hint="default"/>
        <w:color w:val="auto"/>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num w:numId="1" w16cid:durableId="1439645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7B0"/>
    <w:rsid w:val="006E07B0"/>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392EF"/>
  <w15:chartTrackingRefBased/>
  <w15:docId w15:val="{EB5ED025-919B-CE4B-B5A6-A4AB2F010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07B0"/>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07B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457</Words>
  <Characters>2611</Characters>
  <Application>Microsoft Office Word</Application>
  <DocSecurity>0</DocSecurity>
  <Lines>21</Lines>
  <Paragraphs>6</Paragraphs>
  <ScaleCrop>false</ScaleCrop>
  <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2022-11-09T06:09:00Z</dcterms:created>
  <dcterms:modified xsi:type="dcterms:W3CDTF">2022-11-09T06:11:00Z</dcterms:modified>
</cp:coreProperties>
</file>