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4C9843" w14:textId="33470606" w:rsidR="0020710D" w:rsidRDefault="00842F37">
      <w:pPr>
        <w:spacing w:line="288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sz w:val="32"/>
          <w:szCs w:val="32"/>
        </w:rPr>
        <w:t>营销特训营课程</w:t>
      </w:r>
    </w:p>
    <w:p w14:paraId="077A063B" w14:textId="77777777" w:rsidR="0020710D" w:rsidRDefault="0020710D">
      <w:pPr>
        <w:spacing w:line="288" w:lineRule="auto"/>
        <w:jc w:val="center"/>
        <w:rPr>
          <w:rFonts w:ascii="微软雅黑" w:eastAsia="微软雅黑" w:hAnsi="微软雅黑"/>
          <w:b/>
          <w:bCs/>
          <w:sz w:val="32"/>
          <w:szCs w:val="32"/>
        </w:rPr>
      </w:pPr>
    </w:p>
    <w:p w14:paraId="6F4DA846" w14:textId="77777777" w:rsidR="0020710D" w:rsidRDefault="009F6A2A">
      <w:pPr>
        <w:spacing w:line="288" w:lineRule="auto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【授课对象】</w:t>
      </w:r>
    </w:p>
    <w:p w14:paraId="113D7108" w14:textId="440CE9B4" w:rsidR="0020710D" w:rsidRPr="00237E75" w:rsidRDefault="009F6A2A">
      <w:pPr>
        <w:spacing w:line="288" w:lineRule="auto"/>
        <w:ind w:firstLineChars="200" w:firstLine="480"/>
        <w:rPr>
          <w:rFonts w:ascii="微软雅黑" w:eastAsia="微软雅黑" w:hAnsi="微软雅黑"/>
          <w:sz w:val="28"/>
          <w:szCs w:val="28"/>
        </w:rPr>
      </w:pPr>
      <w:r w:rsidRPr="00237E75">
        <w:rPr>
          <w:rFonts w:ascii="微软雅黑" w:eastAsia="微软雅黑" w:hAnsi="微软雅黑" w:hint="eastAsia"/>
          <w:sz w:val="24"/>
          <w:szCs w:val="24"/>
        </w:rPr>
        <w:t>银行零售业务经营</w:t>
      </w:r>
      <w:r w:rsidR="00B23AE0">
        <w:rPr>
          <w:rFonts w:ascii="微软雅黑" w:eastAsia="微软雅黑" w:hAnsi="微软雅黑" w:hint="eastAsia"/>
          <w:sz w:val="24"/>
          <w:szCs w:val="24"/>
        </w:rPr>
        <w:t>决策层、管理层；支行长、营销团队负责人</w:t>
      </w:r>
    </w:p>
    <w:p w14:paraId="0E4298A5" w14:textId="77777777" w:rsidR="0020710D" w:rsidRDefault="0020710D">
      <w:pPr>
        <w:spacing w:line="288" w:lineRule="auto"/>
        <w:ind w:firstLineChars="200" w:firstLine="480"/>
        <w:rPr>
          <w:rFonts w:ascii="宋体" w:eastAsia="宋体" w:hAnsi="宋体"/>
          <w:sz w:val="24"/>
          <w:szCs w:val="24"/>
        </w:rPr>
      </w:pPr>
    </w:p>
    <w:p w14:paraId="2BE6AABD" w14:textId="77777777" w:rsidR="0020710D" w:rsidRDefault="009F6A2A">
      <w:pPr>
        <w:adjustRightInd w:val="0"/>
        <w:snapToGrid w:val="0"/>
        <w:spacing w:line="276" w:lineRule="auto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color w:val="C00000"/>
          <w:sz w:val="30"/>
          <w:szCs w:val="30"/>
          <w:u w:val="single"/>
        </w:rPr>
        <w:t>一、转思维：后疫情时代营销思维的转型</w:t>
      </w:r>
    </w:p>
    <w:p w14:paraId="4B30E25C" w14:textId="77777777" w:rsidR="0020710D" w:rsidRDefault="009F6A2A">
      <w:pPr>
        <w:adjustRightInd w:val="0"/>
        <w:snapToGrid w:val="0"/>
        <w:spacing w:line="264" w:lineRule="auto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（一）互联网时代的营销思维转型</w:t>
      </w:r>
    </w:p>
    <w:p w14:paraId="2D68CB20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1、互联网思维</w:t>
      </w:r>
    </w:p>
    <w:p w14:paraId="28454D17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2、非金融需求</w:t>
      </w:r>
    </w:p>
    <w:p w14:paraId="05AB2342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3、场景化营销</w:t>
      </w:r>
    </w:p>
    <w:p w14:paraId="11743B6C" w14:textId="46BB7F3B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 w:rsidR="00796D0F">
        <w:rPr>
          <w:rFonts w:ascii="微软雅黑" w:eastAsia="微软雅黑" w:hAnsi="微软雅黑" w:hint="eastAsia"/>
          <w:sz w:val="24"/>
          <w:szCs w:val="24"/>
        </w:rPr>
        <w:t>、存款立行,贷款创收</w:t>
      </w:r>
      <w:bookmarkStart w:id="0" w:name="_GoBack"/>
      <w:bookmarkEnd w:id="0"/>
    </w:p>
    <w:p w14:paraId="33186AAA" w14:textId="77777777" w:rsidR="0020710D" w:rsidRDefault="009F6A2A">
      <w:pPr>
        <w:adjustRightInd w:val="0"/>
        <w:snapToGrid w:val="0"/>
        <w:spacing w:line="264" w:lineRule="auto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（二）营销中的互联网思维</w:t>
      </w:r>
    </w:p>
    <w:p w14:paraId="4AC0B9B9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1、得长尾者得天下</w:t>
      </w:r>
    </w:p>
    <w:p w14:paraId="5EA1D05D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2、得眼球者得天下</w:t>
      </w:r>
    </w:p>
    <w:p w14:paraId="00C357AE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3、得粉丝者得天下</w:t>
      </w:r>
    </w:p>
    <w:p w14:paraId="61076428" w14:textId="77777777" w:rsidR="0020710D" w:rsidRDefault="009F6A2A">
      <w:pPr>
        <w:adjustRightInd w:val="0"/>
        <w:snapToGrid w:val="0"/>
        <w:spacing w:line="264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4、得鸟人者得天下</w:t>
      </w:r>
    </w:p>
    <w:p w14:paraId="739A4A57" w14:textId="77777777" w:rsidR="0020710D" w:rsidRDefault="009F6A2A">
      <w:pPr>
        <w:adjustRightInd w:val="0"/>
        <w:snapToGrid w:val="0"/>
        <w:spacing w:line="264" w:lineRule="auto"/>
        <w:ind w:firstLineChars="200" w:firstLine="480"/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（三）优秀银行负债业务营销案例分享</w:t>
      </w:r>
    </w:p>
    <w:p w14:paraId="0122E1EC" w14:textId="77777777" w:rsidR="0020710D" w:rsidRDefault="0020710D">
      <w:pPr>
        <w:adjustRightInd w:val="0"/>
        <w:snapToGrid w:val="0"/>
        <w:spacing w:line="276" w:lineRule="auto"/>
        <w:rPr>
          <w:rFonts w:ascii="微软雅黑" w:eastAsia="微软雅黑" w:hAnsi="微软雅黑"/>
          <w:sz w:val="24"/>
          <w:szCs w:val="24"/>
        </w:rPr>
      </w:pPr>
    </w:p>
    <w:p w14:paraId="3241C705" w14:textId="77777777" w:rsidR="0020710D" w:rsidRDefault="009F6A2A">
      <w:pPr>
        <w:adjustRightInd w:val="0"/>
        <w:snapToGrid w:val="0"/>
        <w:spacing w:line="276" w:lineRule="auto"/>
        <w:rPr>
          <w:rFonts w:ascii="微软雅黑" w:eastAsia="微软雅黑" w:hAnsi="微软雅黑"/>
          <w:b/>
          <w:color w:val="C00000"/>
          <w:sz w:val="30"/>
          <w:szCs w:val="30"/>
          <w:u w:val="single"/>
        </w:rPr>
      </w:pPr>
      <w:r>
        <w:rPr>
          <w:rFonts w:ascii="微软雅黑" w:eastAsia="微软雅黑" w:hAnsi="微软雅黑" w:hint="eastAsia"/>
          <w:b/>
          <w:color w:val="C00000"/>
          <w:sz w:val="30"/>
          <w:szCs w:val="30"/>
          <w:u w:val="single"/>
        </w:rPr>
        <w:t>二、抓流量：场景引流与“吸客”营销</w:t>
      </w:r>
    </w:p>
    <w:p w14:paraId="207CCBB5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（一）后疫情时代“流量”营销策略</w:t>
      </w:r>
    </w:p>
    <w:p w14:paraId="6E9FA944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1、线下形式引流：传统网点的转型</w:t>
      </w:r>
    </w:p>
    <w:p w14:paraId="7E2D9B56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2、线上内容引流：线上渠道的营销策略</w:t>
      </w:r>
    </w:p>
    <w:p w14:paraId="36AD1D9E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（1）主体“人格化”</w:t>
      </w:r>
    </w:p>
    <w:p w14:paraId="2A55F51D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（2）场景要“近”</w:t>
      </w:r>
    </w:p>
    <w:p w14:paraId="3EA934A6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（3）立意要“小”</w:t>
      </w:r>
    </w:p>
    <w:p w14:paraId="7C559958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（4）方式要“活”</w:t>
      </w:r>
    </w:p>
    <w:p w14:paraId="7AE8CB63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（二）O2O场景“引流”的方法</w:t>
      </w:r>
    </w:p>
    <w:p w14:paraId="4FCF9012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、四大主题，求关注</w:t>
      </w:r>
    </w:p>
    <w:p w14:paraId="68D6ED29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（1）有情感、有共鸣</w:t>
      </w:r>
    </w:p>
    <w:p w14:paraId="185529F2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（2）有趣味，有互动</w:t>
      </w:r>
    </w:p>
    <w:p w14:paraId="1636D98C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（3）有价值，有用处</w:t>
      </w:r>
    </w:p>
    <w:p w14:paraId="51447EEA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（4）有品味，有关联</w:t>
      </w:r>
    </w:p>
    <w:p w14:paraId="4BC5B38B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、挖掘由头，会搭讪</w:t>
      </w:r>
    </w:p>
    <w:p w14:paraId="7A85C1D8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（1）从社交媒体中挖掘客户信息</w:t>
      </w:r>
    </w:p>
    <w:p w14:paraId="786A8050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（2）诱导客户的私人互动</w:t>
      </w:r>
    </w:p>
    <w:p w14:paraId="28C97F37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、巧设诱饵，利成交</w:t>
      </w:r>
    </w:p>
    <w:p w14:paraId="55222816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（1）爆款、引流款与利润款</w:t>
      </w:r>
    </w:p>
    <w:p w14:paraId="1A68BC4C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（2）存款产品的“引流款”设计</w:t>
      </w:r>
    </w:p>
    <w:p w14:paraId="3F0C5D17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、利益分享，促裂变</w:t>
      </w:r>
    </w:p>
    <w:p w14:paraId="585C1F02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（1）让客户分享“名”</w:t>
      </w:r>
    </w:p>
    <w:p w14:paraId="611E7FE4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（2）让客户分享“利”</w:t>
      </w:r>
    </w:p>
    <w:p w14:paraId="6A1D4ACE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（3）线上引流与线下导入</w:t>
      </w:r>
    </w:p>
    <w:p w14:paraId="00CBC025" w14:textId="77777777" w:rsidR="0020710D" w:rsidRDefault="0020710D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</w:p>
    <w:p w14:paraId="2396EFDC" w14:textId="77777777" w:rsidR="0020710D" w:rsidRDefault="009F6A2A">
      <w:pPr>
        <w:adjustRightInd w:val="0"/>
        <w:snapToGrid w:val="0"/>
        <w:spacing w:line="276" w:lineRule="auto"/>
        <w:rPr>
          <w:rFonts w:ascii="微软雅黑" w:eastAsia="微软雅黑" w:hAnsi="微软雅黑"/>
          <w:b/>
          <w:color w:val="C00000"/>
          <w:sz w:val="30"/>
          <w:szCs w:val="30"/>
          <w:u w:val="single"/>
        </w:rPr>
      </w:pPr>
      <w:r>
        <w:rPr>
          <w:rFonts w:ascii="微软雅黑" w:eastAsia="微软雅黑" w:hAnsi="微软雅黑" w:hint="eastAsia"/>
          <w:b/>
          <w:color w:val="C00000"/>
          <w:sz w:val="30"/>
          <w:szCs w:val="30"/>
          <w:u w:val="single"/>
        </w:rPr>
        <w:t>三、抓存量：存量挖潜与“活客”经营</w:t>
      </w:r>
    </w:p>
    <w:p w14:paraId="707C8909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（一）分层：存量客群的数据营销</w:t>
      </w:r>
    </w:p>
    <w:p w14:paraId="74A219DC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1、客户“价值-关系”矩阵</w:t>
      </w:r>
    </w:p>
    <w:p w14:paraId="09C711A0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3、临界客户提升</w:t>
      </w:r>
    </w:p>
    <w:p w14:paraId="34FBCE9D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4、客户“分层”营销实战案例探析</w:t>
      </w:r>
    </w:p>
    <w:p w14:paraId="3B322C4F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（二）分群：目标客群的差异营销</w:t>
      </w:r>
    </w:p>
    <w:p w14:paraId="0EDAB349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1、客户画像与客户特征分析</w:t>
      </w:r>
    </w:p>
    <w:p w14:paraId="771CB02A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2、客户线上分群与营销的方法</w:t>
      </w:r>
    </w:p>
    <w:p w14:paraId="229F2163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3、不同类群客户存款营销策略</w:t>
      </w:r>
    </w:p>
    <w:p w14:paraId="4DD09C9E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（三）分片：网周客群的网格经营</w:t>
      </w:r>
    </w:p>
    <w:p w14:paraId="57154871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1、画地图：目标客群导入</w:t>
      </w:r>
    </w:p>
    <w:p w14:paraId="6688F83B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2、挖墙角：他行客户策反</w:t>
      </w:r>
    </w:p>
    <w:p w14:paraId="2FA7DFD4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3、学传销：客户人脉营销</w:t>
      </w:r>
    </w:p>
    <w:p w14:paraId="56428D2C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4、做联动：片区异业联动</w:t>
      </w:r>
    </w:p>
    <w:p w14:paraId="522EC3EC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lastRenderedPageBreak/>
        <w:t>（四）分序：销售活动的流程优化</w:t>
      </w:r>
    </w:p>
    <w:p w14:paraId="671F26FF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1、产品销售的顺序</w:t>
      </w:r>
    </w:p>
    <w:p w14:paraId="312804EA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2、如何利用产品加载稳定存款</w:t>
      </w:r>
    </w:p>
    <w:p w14:paraId="67515DA5" w14:textId="77777777" w:rsidR="0020710D" w:rsidRDefault="0020710D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</w:p>
    <w:p w14:paraId="37827E93" w14:textId="77777777" w:rsidR="0020710D" w:rsidRDefault="009F6A2A">
      <w:pPr>
        <w:adjustRightInd w:val="0"/>
        <w:snapToGrid w:val="0"/>
        <w:spacing w:line="276" w:lineRule="auto"/>
        <w:rPr>
          <w:rFonts w:ascii="微软雅黑" w:eastAsia="微软雅黑" w:hAnsi="微软雅黑"/>
          <w:b/>
          <w:color w:val="C00000"/>
          <w:sz w:val="30"/>
          <w:szCs w:val="30"/>
          <w:u w:val="single"/>
        </w:rPr>
      </w:pPr>
      <w:r>
        <w:rPr>
          <w:rFonts w:ascii="微软雅黑" w:eastAsia="微软雅黑" w:hAnsi="微软雅黑" w:hint="eastAsia"/>
          <w:b/>
          <w:color w:val="C00000"/>
          <w:sz w:val="30"/>
          <w:szCs w:val="30"/>
          <w:u w:val="single"/>
        </w:rPr>
        <w:t>四、抓增量：存款产能提升“五策”</w:t>
      </w:r>
    </w:p>
    <w:p w14:paraId="243E9C01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（一）管理策：基层营销的目标与过程管理</w:t>
      </w:r>
    </w:p>
    <w:p w14:paraId="10F39A99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、考核指标之间关系探析</w:t>
      </w:r>
    </w:p>
    <w:p w14:paraId="6C7E96F4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2、如何分解上级行下达的业务指标</w:t>
      </w:r>
    </w:p>
    <w:p w14:paraId="4F71F165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（1）绩效目标的分类</w:t>
      </w:r>
    </w:p>
    <w:p w14:paraId="6146991D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）制定目标的SMART原则</w:t>
      </w:r>
    </w:p>
    <w:p w14:paraId="6C6CDD2D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）如何制定内部绩效目标</w:t>
      </w:r>
    </w:p>
    <w:p w14:paraId="276DF9EA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、基层营销管理的“套路”</w:t>
      </w:r>
    </w:p>
    <w:p w14:paraId="41195582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（1）定性要求定量化</w:t>
      </w:r>
    </w:p>
    <w:p w14:paraId="03F22B5B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（2）结果目标过程化</w:t>
      </w:r>
    </w:p>
    <w:p w14:paraId="7C75EE56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（3）日常工作流程化</w:t>
      </w:r>
    </w:p>
    <w:p w14:paraId="534566DB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、基层过程推动的五个到位</w:t>
      </w:r>
    </w:p>
    <w:p w14:paraId="2887C517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（1）计划目标的规划</w:t>
      </w:r>
    </w:p>
    <w:p w14:paraId="7BA0BB8C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（2）计划目标的分解</w:t>
      </w:r>
    </w:p>
    <w:p w14:paraId="6047F2E7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（3）会议与日常过程管理</w:t>
      </w:r>
    </w:p>
    <w:p w14:paraId="433E6A4D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（4）反馈与修正</w:t>
      </w:r>
    </w:p>
    <w:p w14:paraId="4C80D268" w14:textId="77777777" w:rsidR="0020710D" w:rsidRDefault="009F6A2A">
      <w:pPr>
        <w:adjustRightInd w:val="0"/>
        <w:snapToGrid w:val="0"/>
        <w:spacing w:line="276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（5）管理工具和信息传递渠道</w:t>
      </w:r>
    </w:p>
    <w:p w14:paraId="0514AFBC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/>
          <w:sz w:val="24"/>
          <w:szCs w:val="24"/>
        </w:rPr>
        <w:t>5</w:t>
      </w:r>
      <w:r>
        <w:rPr>
          <w:rFonts w:ascii="微软雅黑" w:eastAsia="微软雅黑" w:hAnsi="微软雅黑" w:cs="宋体" w:hint="eastAsia"/>
          <w:sz w:val="24"/>
          <w:szCs w:val="24"/>
        </w:rPr>
        <w:t>、如何调动营销人员的积极性</w:t>
      </w:r>
    </w:p>
    <w:p w14:paraId="05A66B82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6、支行内部的营销联动</w:t>
      </w:r>
    </w:p>
    <w:p w14:paraId="5C771425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（二）产品策：传统存款产品的营销包装</w:t>
      </w:r>
    </w:p>
    <w:p w14:paraId="5F4CB8F0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1、为产品“做导流”</w:t>
      </w:r>
    </w:p>
    <w:p w14:paraId="1D5FC5CD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2、为产品“找焦点”</w:t>
      </w:r>
    </w:p>
    <w:p w14:paraId="7E34118D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3、为产品“分客群”</w:t>
      </w:r>
    </w:p>
    <w:p w14:paraId="2E924463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4、为产品“取小名”</w:t>
      </w:r>
    </w:p>
    <w:p w14:paraId="3C564EAD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5、为产品“编故事”</w:t>
      </w:r>
    </w:p>
    <w:p w14:paraId="56150BFA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6、为产品“做组合”</w:t>
      </w:r>
    </w:p>
    <w:p w14:paraId="00795A74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（三）促销策：存款促销活动的设计</w:t>
      </w:r>
    </w:p>
    <w:p w14:paraId="4A8FC571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1、追踪热点的营销策划</w:t>
      </w:r>
    </w:p>
    <w:p w14:paraId="08966DD3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2、促销三部曲：入门、维稳与提升</w:t>
      </w:r>
    </w:p>
    <w:p w14:paraId="0DFFFA91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3、周期性礼品的设计</w:t>
      </w:r>
    </w:p>
    <w:p w14:paraId="303C4805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（四）方法策：销售方法创新——诊断式营销</w:t>
      </w:r>
    </w:p>
    <w:p w14:paraId="13A3BC43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1、向医生学习：诊断式营销探析</w:t>
      </w:r>
    </w:p>
    <w:p w14:paraId="0B7A2505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2、存款类产品营销案例分享</w:t>
      </w:r>
    </w:p>
    <w:p w14:paraId="67EAD9A6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3、其他零售银行产品销售案例分享</w:t>
      </w:r>
    </w:p>
    <w:p w14:paraId="37ACB548" w14:textId="77777777" w:rsidR="0020710D" w:rsidRDefault="009F6A2A">
      <w:pPr>
        <w:adjustRightInd w:val="0"/>
        <w:snapToGrid w:val="0"/>
        <w:spacing w:line="276" w:lineRule="auto"/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（五）工具策：营销工具的运用</w:t>
      </w:r>
    </w:p>
    <w:p w14:paraId="77B36E49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1、营销话术的优化</w:t>
      </w:r>
    </w:p>
    <w:p w14:paraId="399ACC46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2、营销工具“展业夹”详述</w:t>
      </w:r>
    </w:p>
    <w:p w14:paraId="029B66AF" w14:textId="77777777" w:rsidR="0020710D" w:rsidRDefault="009F6A2A">
      <w:pPr>
        <w:adjustRightInd w:val="0"/>
        <w:snapToGrid w:val="0"/>
        <w:spacing w:line="276" w:lineRule="auto"/>
        <w:ind w:firstLineChars="300" w:firstLine="72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3、互联网营销工具介绍</w:t>
      </w:r>
    </w:p>
    <w:p w14:paraId="1EBF0578" w14:textId="77777777" w:rsidR="0020710D" w:rsidRDefault="0020710D">
      <w:pPr>
        <w:spacing w:line="264" w:lineRule="auto"/>
        <w:rPr>
          <w:rFonts w:ascii="宋体" w:eastAsia="宋体" w:hAnsi="宋体"/>
          <w:sz w:val="24"/>
          <w:szCs w:val="24"/>
        </w:rPr>
      </w:pPr>
    </w:p>
    <w:p w14:paraId="2141816C" w14:textId="77777777" w:rsidR="0020710D" w:rsidRDefault="0020710D">
      <w:pPr>
        <w:spacing w:line="264" w:lineRule="auto"/>
        <w:rPr>
          <w:rFonts w:ascii="宋体" w:eastAsia="宋体" w:hAnsi="宋体"/>
          <w:sz w:val="24"/>
          <w:szCs w:val="24"/>
        </w:rPr>
      </w:pPr>
    </w:p>
    <w:p w14:paraId="690ED8E2" w14:textId="77777777" w:rsidR="0020710D" w:rsidRDefault="0020710D">
      <w:pPr>
        <w:spacing w:line="264" w:lineRule="auto"/>
        <w:rPr>
          <w:rFonts w:ascii="宋体" w:eastAsia="宋体" w:hAnsi="宋体"/>
          <w:sz w:val="24"/>
          <w:szCs w:val="24"/>
        </w:rPr>
      </w:pPr>
    </w:p>
    <w:sectPr w:rsidR="002071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3D9071" w14:textId="77777777" w:rsidR="00B02705" w:rsidRDefault="00B02705" w:rsidP="00B23AE0">
      <w:r>
        <w:separator/>
      </w:r>
    </w:p>
  </w:endnote>
  <w:endnote w:type="continuationSeparator" w:id="0">
    <w:p w14:paraId="685EA638" w14:textId="77777777" w:rsidR="00B02705" w:rsidRDefault="00B02705" w:rsidP="00B23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039A2" w14:textId="77777777" w:rsidR="00B02705" w:rsidRDefault="00B02705" w:rsidP="00B23AE0">
      <w:r>
        <w:separator/>
      </w:r>
    </w:p>
  </w:footnote>
  <w:footnote w:type="continuationSeparator" w:id="0">
    <w:p w14:paraId="568862EE" w14:textId="77777777" w:rsidR="00B02705" w:rsidRDefault="00B02705" w:rsidP="00B23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FF3"/>
    <w:rsid w:val="000B462B"/>
    <w:rsid w:val="001D31B0"/>
    <w:rsid w:val="001E069F"/>
    <w:rsid w:val="0020710D"/>
    <w:rsid w:val="00237E75"/>
    <w:rsid w:val="002460F4"/>
    <w:rsid w:val="00263EC9"/>
    <w:rsid w:val="002768A9"/>
    <w:rsid w:val="00277A23"/>
    <w:rsid w:val="002B0D29"/>
    <w:rsid w:val="002E55F5"/>
    <w:rsid w:val="003D1B04"/>
    <w:rsid w:val="003D7137"/>
    <w:rsid w:val="00422E16"/>
    <w:rsid w:val="00483227"/>
    <w:rsid w:val="004D2AF2"/>
    <w:rsid w:val="005F059B"/>
    <w:rsid w:val="00601FF3"/>
    <w:rsid w:val="00686EC6"/>
    <w:rsid w:val="006F3EF9"/>
    <w:rsid w:val="00723ACD"/>
    <w:rsid w:val="007778EC"/>
    <w:rsid w:val="00786268"/>
    <w:rsid w:val="00796D0F"/>
    <w:rsid w:val="008255DE"/>
    <w:rsid w:val="00842F37"/>
    <w:rsid w:val="00851941"/>
    <w:rsid w:val="008B0F86"/>
    <w:rsid w:val="008D6CA8"/>
    <w:rsid w:val="0091712E"/>
    <w:rsid w:val="0095029D"/>
    <w:rsid w:val="009B18A1"/>
    <w:rsid w:val="009F6A2A"/>
    <w:rsid w:val="00A03217"/>
    <w:rsid w:val="00B02705"/>
    <w:rsid w:val="00B1380C"/>
    <w:rsid w:val="00B13892"/>
    <w:rsid w:val="00B23AE0"/>
    <w:rsid w:val="00B47701"/>
    <w:rsid w:val="00B80707"/>
    <w:rsid w:val="00B81625"/>
    <w:rsid w:val="00BE4EBF"/>
    <w:rsid w:val="00CB0BA0"/>
    <w:rsid w:val="00CB2F14"/>
    <w:rsid w:val="00CD12FF"/>
    <w:rsid w:val="00D15C0E"/>
    <w:rsid w:val="00D438B0"/>
    <w:rsid w:val="00D537AC"/>
    <w:rsid w:val="00E2355C"/>
    <w:rsid w:val="00E66F53"/>
    <w:rsid w:val="00EB249E"/>
    <w:rsid w:val="00EF31D2"/>
    <w:rsid w:val="00F34783"/>
    <w:rsid w:val="00F82578"/>
    <w:rsid w:val="00F91E2A"/>
    <w:rsid w:val="00F91ED9"/>
    <w:rsid w:val="00F941BA"/>
    <w:rsid w:val="1632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276C0A"/>
  <w15:docId w15:val="{503C4892-95BC-F442-B186-FFE165AD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12205</dc:creator>
  <cp:lastModifiedBy>PC</cp:lastModifiedBy>
  <cp:revision>11</cp:revision>
  <dcterms:created xsi:type="dcterms:W3CDTF">2020-04-20T07:31:00Z</dcterms:created>
  <dcterms:modified xsi:type="dcterms:W3CDTF">2023-11-01T02:54:00Z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