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firstLine="1105" w:firstLineChars="345"/>
        <w:rPr>
          <w:rFonts w:hint="eastAsia" w:ascii="微软雅黑" w:hAnsi="微软雅黑" w:eastAsia="微软雅黑"/>
          <w:b/>
          <w:sz w:val="32"/>
          <w:szCs w:val="32"/>
        </w:rPr>
      </w:pPr>
      <w:bookmarkStart w:id="0" w:name="_GoBack"/>
      <w:bookmarkEnd w:id="0"/>
      <w:r>
        <w:rPr>
          <w:rFonts w:hint="eastAsia" w:ascii="微软雅黑" w:hAnsi="微软雅黑" w:eastAsia="微软雅黑"/>
          <w:b/>
          <w:sz w:val="32"/>
          <w:szCs w:val="32"/>
        </w:rPr>
        <w:t>《设计师+讲师——企业内部讲师技能提升训练》</w:t>
      </w:r>
    </w:p>
    <w:p>
      <w:pPr>
        <w:spacing w:line="360" w:lineRule="auto"/>
        <w:ind w:firstLine="1105" w:firstLineChars="345"/>
        <w:jc w:val="center"/>
        <w:rPr>
          <w:rFonts w:hint="eastAsia" w:ascii="微软雅黑" w:hAnsi="微软雅黑" w:eastAsia="微软雅黑"/>
          <w:b/>
          <w:sz w:val="32"/>
          <w:szCs w:val="32"/>
        </w:rPr>
      </w:pPr>
      <w:r>
        <w:rPr>
          <w:rFonts w:hint="eastAsia" w:ascii="微软雅黑" w:hAnsi="微软雅黑" w:eastAsia="微软雅黑"/>
          <w:b/>
          <w:sz w:val="32"/>
          <w:szCs w:val="32"/>
        </w:rPr>
        <w:t>课程大纲（培训4天+2天辅导版）</w:t>
      </w:r>
    </w:p>
    <w:p>
      <w:pPr>
        <w:numPr>
          <w:ilvl w:val="0"/>
          <w:numId w:val="1"/>
        </w:numPr>
        <w:spacing w:line="360" w:lineRule="auto"/>
        <w:jc w:val="left"/>
        <w:rPr>
          <w:rFonts w:hint="eastAsia" w:ascii="微软雅黑" w:hAnsi="微软雅黑" w:eastAsia="微软雅黑"/>
          <w:b/>
          <w:color w:val="FF0000"/>
          <w:sz w:val="24"/>
          <w:szCs w:val="24"/>
        </w:rPr>
      </w:pPr>
      <w:r>
        <w:rPr>
          <w:rFonts w:hint="eastAsia" w:ascii="微软雅黑" w:hAnsi="微软雅黑" w:eastAsia="微软雅黑"/>
          <w:b/>
          <w:color w:val="FF0000"/>
          <w:sz w:val="24"/>
          <w:szCs w:val="24"/>
        </w:rPr>
        <w:t>课程背景</w:t>
      </w:r>
    </w:p>
    <w:p>
      <w:pPr>
        <w:spacing w:line="360" w:lineRule="auto"/>
        <w:ind w:firstLine="480" w:firstLineChars="200"/>
        <w:jc w:val="left"/>
        <w:rPr>
          <w:rFonts w:hint="eastAsia" w:ascii="微软雅黑" w:hAnsi="微软雅黑" w:eastAsia="微软雅黑"/>
          <w:color w:val="000000"/>
          <w:sz w:val="24"/>
          <w:szCs w:val="24"/>
        </w:rPr>
      </w:pPr>
      <w:r>
        <w:rPr>
          <w:rFonts w:hint="eastAsia" w:ascii="微软雅黑" w:hAnsi="微软雅黑" w:eastAsia="微软雅黑"/>
          <w:color w:val="000000"/>
          <w:sz w:val="24"/>
          <w:szCs w:val="24"/>
        </w:rPr>
        <w:t>培养企业职业培训师是企业培训体系的核心之一，目前我们绝大部份企业里的内部讲师都属于兼职讲师，他们除了担任课程的讲授者这一主要角色外，大多还兼任课程的设计者、课程的开发者、课外辅导者和企业文化的践行者，这就要求内部讲师具有比较全面的课程设计、课程开发、课程讲授技能。</w:t>
      </w:r>
    </w:p>
    <w:p>
      <w:pPr>
        <w:spacing w:line="360" w:lineRule="auto"/>
        <w:ind w:firstLine="480" w:firstLineChars="200"/>
        <w:jc w:val="left"/>
        <w:rPr>
          <w:rFonts w:hint="eastAsia" w:ascii="微软雅黑" w:hAnsi="微软雅黑" w:eastAsia="微软雅黑"/>
          <w:color w:val="000000"/>
          <w:sz w:val="24"/>
          <w:szCs w:val="24"/>
        </w:rPr>
      </w:pPr>
      <w:r>
        <w:rPr>
          <w:rFonts w:hint="eastAsia" w:ascii="微软雅黑" w:hAnsi="微软雅黑" w:eastAsia="微软雅黑"/>
          <w:color w:val="000000"/>
          <w:sz w:val="24"/>
          <w:szCs w:val="24"/>
        </w:rPr>
        <w:t xml:space="preserve">因此，内部讲师的专业技能的高低，直接影响到企业培训质量，内部讲师是整个企业培训体系最有活力和创造力的因素，具有巨大的开发潜能。 </w:t>
      </w:r>
    </w:p>
    <w:p>
      <w:pPr>
        <w:spacing w:line="360" w:lineRule="auto"/>
        <w:jc w:val="left"/>
        <w:rPr>
          <w:rFonts w:hint="eastAsia" w:ascii="微软雅黑" w:hAnsi="微软雅黑" w:eastAsia="微软雅黑"/>
          <w:b/>
          <w:bCs/>
          <w:sz w:val="32"/>
          <w:szCs w:val="32"/>
        </w:rPr>
      </w:pPr>
      <w:r>
        <w:rPr>
          <w:rFonts w:hint="eastAsia" w:ascii="微软雅黑" w:hAnsi="微软雅黑" w:eastAsia="微软雅黑"/>
          <w:b/>
          <w:bCs/>
          <w:sz w:val="32"/>
          <w:szCs w:val="32"/>
        </w:rPr>
        <w:t>课程架构：</w:t>
      </w:r>
    </w:p>
    <w:p>
      <w:pPr>
        <w:spacing w:line="360" w:lineRule="auto"/>
        <w:ind w:left="210" w:leftChars="100" w:firstLine="630" w:firstLineChars="300"/>
        <w:rPr>
          <w:rFonts w:ascii="微软雅黑" w:hAnsi="微软雅黑" w:eastAsia="微软雅黑"/>
          <w:b/>
          <w:color w:val="FF0000"/>
          <w:sz w:val="24"/>
          <w:szCs w:val="24"/>
        </w:rPr>
      </w:pPr>
      <w:r>
        <w:rPr>
          <w:rFonts w:ascii="微软雅黑" w:hAnsi="微软雅黑" w:eastAsia="微软雅黑"/>
        </w:rPr>
        <w:object>
          <v:shape id="_x0000_i1025" o:spt="75" type="#_x0000_t75" style="height:274.8pt;width:424.95pt;" o:ole="t" filled="f" stroked="f" coordsize="21600,21600">
            <v:path/>
            <v:fill on="f" focussize="0,0"/>
            <v:stroke on="f"/>
            <v:imagedata r:id="rId11" o:title=""/>
            <o:lock v:ext="edit" aspectratio="t"/>
            <w10:wrap type="none"/>
            <w10:anchorlock/>
          </v:shape>
          <o:OLEObject Type="Embed" ProgID="Visio.Drawing.11" ShapeID="_x0000_i1025" DrawAspect="Content" ObjectID="_1468075725" r:id="rId10">
            <o:LockedField>false</o:LockedField>
          </o:OLEObject>
        </w:object>
      </w:r>
      <w:r>
        <w:rPr>
          <w:rFonts w:hint="eastAsia" w:ascii="微软雅黑" w:hAnsi="微软雅黑" w:eastAsia="微软雅黑"/>
        </w:rPr>
        <w:t xml:space="preserve">     </w:t>
      </w:r>
      <w:r>
        <w:rPr>
          <w:rFonts w:hint="eastAsia" w:ascii="微软雅黑" w:hAnsi="微软雅黑" w:eastAsia="微软雅黑"/>
          <w:color w:val="000000"/>
          <w:sz w:val="24"/>
          <w:szCs w:val="24"/>
        </w:rPr>
        <w:t>通过此课程，让学员在正确理念指导下，掌握课程设计开发的方法工具和授课技巧，一方面可以为所在企业量身定制开发大量的内部培训课程，建立和完善企业课程体系和讲师体系，减少对外聘讲师的依赖，提高自我造血能力；另一方面采用科学的课程设计开发方法，大大提高企业内部培训的质量和人才培养的速度，促进企业的绩效改进和提升。</w:t>
      </w:r>
    </w:p>
    <w:p>
      <w:pPr>
        <w:spacing w:line="360" w:lineRule="auto"/>
        <w:ind w:firstLine="480" w:firstLineChars="200"/>
        <w:rPr>
          <w:rFonts w:hint="eastAsia"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对企业培训师培养的投资，是投资“培训产品的生产线”，是企业培训投资的重点。</w:t>
      </w:r>
    </w:p>
    <w:p>
      <w:pPr>
        <w:numPr>
          <w:ilvl w:val="0"/>
          <w:numId w:val="1"/>
        </w:numPr>
        <w:spacing w:line="360" w:lineRule="auto"/>
        <w:jc w:val="left"/>
        <w:rPr>
          <w:rFonts w:hint="eastAsia" w:ascii="微软雅黑" w:hAnsi="微软雅黑" w:eastAsia="微软雅黑"/>
          <w:b/>
          <w:color w:val="FF0000"/>
          <w:sz w:val="24"/>
          <w:szCs w:val="24"/>
        </w:rPr>
      </w:pPr>
      <w:r>
        <w:rPr>
          <w:rFonts w:hint="eastAsia" w:ascii="微软雅黑" w:hAnsi="微软雅黑" w:eastAsia="微软雅黑"/>
          <w:b/>
          <w:color w:val="FF0000"/>
          <w:sz w:val="24"/>
          <w:szCs w:val="24"/>
        </w:rPr>
        <w:t>培训对象:</w:t>
      </w:r>
    </w:p>
    <w:p>
      <w:pPr>
        <w:spacing w:line="360" w:lineRule="auto"/>
        <w:jc w:val="left"/>
        <w:rPr>
          <w:rFonts w:hint="eastAsia"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企业部门负责人、企业内训师、培训管理者、人力资源管理者；</w:t>
      </w:r>
    </w:p>
    <w:p>
      <w:pPr>
        <w:numPr>
          <w:ilvl w:val="0"/>
          <w:numId w:val="1"/>
        </w:numPr>
        <w:spacing w:line="360" w:lineRule="auto"/>
        <w:jc w:val="left"/>
        <w:rPr>
          <w:rFonts w:hint="eastAsia" w:ascii="微软雅黑" w:hAnsi="微软雅黑" w:eastAsia="微软雅黑"/>
          <w:b/>
          <w:color w:val="FF0000"/>
          <w:sz w:val="24"/>
          <w:szCs w:val="24"/>
        </w:rPr>
      </w:pPr>
      <w:r>
        <w:rPr>
          <w:rFonts w:hint="eastAsia" w:ascii="微软雅黑" w:hAnsi="微软雅黑" w:eastAsia="微软雅黑"/>
          <w:b/>
          <w:color w:val="FF0000"/>
          <w:sz w:val="24"/>
          <w:szCs w:val="24"/>
        </w:rPr>
        <w:t>课程收益:</w:t>
      </w:r>
    </w:p>
    <w:p>
      <w:pPr>
        <w:spacing w:line="360" w:lineRule="auto"/>
        <w:jc w:val="left"/>
        <w:rPr>
          <w:rFonts w:hint="eastAsia"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1、本教程按照国际职业最新理念对培训师、管理者进行标准的职业化训练，提升个人职业品牌含金量，取得职业培训师领域的专业身份；</w:t>
      </w:r>
    </w:p>
    <w:p>
      <w:pPr>
        <w:spacing w:line="360" w:lineRule="auto"/>
        <w:jc w:val="left"/>
        <w:rPr>
          <w:rFonts w:hint="eastAsia"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2、掌握实用、系统、国际前沿的培训体系管理及咨询理论；成为组织创新的推动者。</w:t>
      </w:r>
    </w:p>
    <w:p>
      <w:pPr>
        <w:spacing w:line="360" w:lineRule="auto"/>
        <w:jc w:val="left"/>
        <w:rPr>
          <w:rFonts w:hint="eastAsia"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3、掌握专业、实用的职业培训师课程制作和实地讲演的专业技能；帮助您增加一项职业能力，与国际化、全球化接轨；</w:t>
      </w:r>
    </w:p>
    <w:p>
      <w:pPr>
        <w:spacing w:line="360" w:lineRule="auto"/>
        <w:jc w:val="left"/>
        <w:rPr>
          <w:rFonts w:hint="eastAsia"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4、能独立进行企业的培训课程设计与开发；</w:t>
      </w:r>
    </w:p>
    <w:p>
      <w:pPr>
        <w:numPr>
          <w:ilvl w:val="0"/>
          <w:numId w:val="1"/>
        </w:numPr>
        <w:spacing w:line="360" w:lineRule="auto"/>
        <w:jc w:val="left"/>
        <w:rPr>
          <w:rFonts w:ascii="微软雅黑" w:hAnsi="微软雅黑" w:eastAsia="微软雅黑"/>
          <w:b/>
          <w:color w:val="FF0000"/>
          <w:sz w:val="24"/>
          <w:szCs w:val="24"/>
        </w:rPr>
      </w:pPr>
      <w:r>
        <w:rPr>
          <w:rFonts w:hint="eastAsia" w:ascii="微软雅黑" w:hAnsi="微软雅黑" w:eastAsia="微软雅黑"/>
          <w:b/>
          <w:color w:val="FF0000"/>
          <w:sz w:val="24"/>
          <w:szCs w:val="24"/>
        </w:rPr>
        <w:t>课程特色</w:t>
      </w:r>
    </w:p>
    <w:p>
      <w:pPr>
        <w:spacing w:line="360" w:lineRule="auto"/>
        <w:ind w:left="578" w:leftChars="104" w:hanging="360" w:hangingChars="150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1、将复杂的课程设计开发原理和技能转化为一系列的模版、表单工具，并通过课堂训练使学员学会使用，让学员在较短的时间内基本掌握课程设计开发的思路和方法。</w:t>
      </w:r>
    </w:p>
    <w:p>
      <w:pPr>
        <w:spacing w:line="360" w:lineRule="auto"/>
        <w:ind w:left="818" w:leftChars="104" w:hanging="600" w:hangingChars="250"/>
        <w:rPr>
          <w:rFonts w:hint="eastAsia"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 xml:space="preserve">2、在课堂培训中强化讲师的“活动策划组织者、思想启迪者、学习辅导者”的角色，弱化“课程演讲者”的角色，以学员为中心，通过精心的课程设计开发，充分发挥学员的主观能动性，让学员学得更快、更轻松。 </w:t>
      </w:r>
    </w:p>
    <w:p>
      <w:pPr>
        <w:spacing w:line="360" w:lineRule="auto"/>
        <w:ind w:left="578" w:leftChars="104" w:hanging="360" w:hangingChars="150"/>
        <w:rPr>
          <w:rFonts w:hint="eastAsia"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3、在企业内训项目中，独创“全程辅导式培训”模式，将一项技能培训，分成“理论学习—实践练习—总结分享评估”三个阶段，在一个时间段内陆续完成，讲师在三个阶段全程辅导，使学员真正熟练掌握和运用所培训的技能。</w:t>
      </w:r>
    </w:p>
    <w:p>
      <w:pPr>
        <w:numPr>
          <w:ilvl w:val="0"/>
          <w:numId w:val="1"/>
        </w:numPr>
        <w:spacing w:line="360" w:lineRule="auto"/>
        <w:jc w:val="left"/>
        <w:rPr>
          <w:rFonts w:ascii="微软雅黑" w:hAnsi="微软雅黑" w:eastAsia="微软雅黑"/>
          <w:b/>
          <w:color w:val="FF0000"/>
          <w:sz w:val="24"/>
          <w:szCs w:val="24"/>
        </w:rPr>
      </w:pPr>
      <w:r>
        <w:rPr>
          <w:rFonts w:hint="eastAsia" w:ascii="微软雅黑" w:hAnsi="微软雅黑" w:eastAsia="微软雅黑"/>
          <w:b/>
          <w:color w:val="FF0000"/>
          <w:sz w:val="24"/>
          <w:szCs w:val="24"/>
        </w:rPr>
        <w:t xml:space="preserve">课程目标： </w:t>
      </w:r>
    </w:p>
    <w:p>
      <w:pPr>
        <w:spacing w:line="360" w:lineRule="auto"/>
        <w:ind w:firstLine="324" w:firstLineChars="135"/>
        <w:rPr>
          <w:rFonts w:hint="eastAsia"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1、能根据老师提问，正确解释培训的相关理念，并正确列举出实践工作中的具体应用案例。</w:t>
      </w:r>
    </w:p>
    <w:p>
      <w:pPr>
        <w:spacing w:line="360" w:lineRule="auto"/>
        <w:ind w:firstLine="324" w:firstLineChars="135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2、能应用课程设计开发的工具方法，模拟约定的培训内容的设计与开发，经评估基本合格。</w:t>
      </w:r>
    </w:p>
    <w:p>
      <w:pPr>
        <w:spacing w:line="360" w:lineRule="auto"/>
        <w:ind w:left="654" w:leftChars="140" w:hanging="360" w:hangingChars="150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3、能根据PPT课件、讲师手册、学员手册的制作原则、要求和模版，模拟制作约定内容的PPT课件、讲师手册、学员手册等，经评估基本合格。</w:t>
      </w:r>
    </w:p>
    <w:p>
      <w:pPr>
        <w:spacing w:line="360" w:lineRule="auto"/>
        <w:ind w:firstLine="324" w:firstLineChars="135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4、能指出案例中讲师在授课表达中的主要不足，并根据约定主题演示授课，经评估基本合格。</w:t>
      </w:r>
    </w:p>
    <w:p>
      <w:pPr>
        <w:numPr>
          <w:ilvl w:val="0"/>
          <w:numId w:val="1"/>
        </w:numPr>
        <w:spacing w:line="360" w:lineRule="auto"/>
        <w:jc w:val="left"/>
        <w:rPr>
          <w:rFonts w:hint="eastAsia" w:ascii="微软雅黑" w:hAnsi="微软雅黑" w:eastAsia="微软雅黑"/>
          <w:b/>
          <w:color w:val="FF0000"/>
          <w:sz w:val="24"/>
          <w:szCs w:val="24"/>
        </w:rPr>
      </w:pPr>
      <w:r>
        <w:rPr>
          <w:rFonts w:hint="eastAsia" w:ascii="微软雅黑" w:hAnsi="微软雅黑" w:eastAsia="微软雅黑"/>
          <w:b/>
          <w:color w:val="FF0000"/>
          <w:sz w:val="24"/>
          <w:szCs w:val="24"/>
        </w:rPr>
        <w:t>培训时间：</w:t>
      </w:r>
      <w:r>
        <w:rPr>
          <w:rFonts w:hint="eastAsia" w:ascii="微软雅黑" w:hAnsi="微软雅黑" w:eastAsia="微软雅黑"/>
          <w:b/>
          <w:color w:val="000000"/>
          <w:sz w:val="24"/>
          <w:szCs w:val="24"/>
        </w:rPr>
        <w:t xml:space="preserve">4天培训+2天辅导 </w:t>
      </w:r>
    </w:p>
    <w:p>
      <w:pPr>
        <w:numPr>
          <w:ilvl w:val="0"/>
          <w:numId w:val="1"/>
        </w:numPr>
        <w:spacing w:line="360" w:lineRule="auto"/>
        <w:jc w:val="left"/>
        <w:rPr>
          <w:rFonts w:hint="eastAsia" w:ascii="微软雅黑" w:hAnsi="微软雅黑" w:eastAsia="微软雅黑"/>
          <w:b/>
          <w:color w:val="FF0000"/>
          <w:sz w:val="24"/>
          <w:szCs w:val="24"/>
        </w:rPr>
      </w:pPr>
      <w:r>
        <w:rPr>
          <w:rFonts w:hint="eastAsia" w:ascii="微软雅黑" w:hAnsi="微软雅黑" w:eastAsia="微软雅黑"/>
          <w:b/>
          <w:color w:val="FF0000"/>
          <w:sz w:val="24"/>
          <w:szCs w:val="24"/>
        </w:rPr>
        <w:t>课程方式：</w:t>
      </w:r>
      <w:r>
        <w:rPr>
          <w:rFonts w:hint="eastAsia" w:ascii="微软雅黑" w:hAnsi="微软雅黑" w:eastAsia="微软雅黑"/>
          <w:b/>
          <w:color w:val="000000"/>
          <w:sz w:val="24"/>
          <w:szCs w:val="24"/>
        </w:rPr>
        <w:t>（学员带电脑上课）</w:t>
      </w:r>
    </w:p>
    <w:p>
      <w:pPr>
        <w:snapToGrid w:val="0"/>
        <w:spacing w:line="360" w:lineRule="auto"/>
        <w:ind w:firstLine="353" w:firstLineChars="147"/>
        <w:rPr>
          <w:rFonts w:hint="eastAsia" w:ascii="微软雅黑" w:hAnsi="微软雅黑" w:eastAsia="微软雅黑" w:cs="宋体"/>
          <w:b/>
          <w:color w:val="000000"/>
          <w:kern w:val="0"/>
          <w:sz w:val="24"/>
          <w:szCs w:val="24"/>
        </w:rPr>
      </w:pPr>
      <w:r>
        <w:rPr>
          <w:rFonts w:hint="eastAsia" w:ascii="微软雅黑" w:hAnsi="微软雅黑" w:eastAsia="微软雅黑" w:cs="宋体"/>
          <w:b/>
          <w:color w:val="000000"/>
          <w:kern w:val="0"/>
          <w:sz w:val="24"/>
          <w:szCs w:val="24"/>
        </w:rPr>
        <w:t>内容讲授（30%）+案例研讨（20%）+课堂实操（35%）+（点评辅导15%）</w:t>
      </w:r>
    </w:p>
    <w:p>
      <w:pPr>
        <w:numPr>
          <w:ilvl w:val="0"/>
          <w:numId w:val="1"/>
        </w:numPr>
        <w:spacing w:line="360" w:lineRule="auto"/>
        <w:jc w:val="left"/>
        <w:rPr>
          <w:rFonts w:ascii="微软雅黑" w:hAnsi="微软雅黑" w:eastAsia="微软雅黑"/>
          <w:b/>
          <w:color w:val="FF0000"/>
          <w:sz w:val="24"/>
          <w:szCs w:val="24"/>
        </w:rPr>
      </w:pPr>
      <w:r>
        <w:rPr>
          <w:rFonts w:hint="eastAsia" w:ascii="微软雅黑" w:hAnsi="微软雅黑" w:eastAsia="微软雅黑"/>
          <w:b/>
          <w:color w:val="FF0000"/>
          <w:sz w:val="24"/>
          <w:szCs w:val="24"/>
        </w:rPr>
        <w:t>培训模式（独特“全程辅导式培训”模式）：</w:t>
      </w:r>
    </w:p>
    <w:p>
      <w:pPr>
        <w:spacing w:line="360" w:lineRule="auto"/>
        <w:ind w:left="580"/>
        <w:rPr>
          <w:rFonts w:hint="eastAsia" w:ascii="微软雅黑" w:hAnsi="微软雅黑" w:eastAsia="微软雅黑"/>
          <w:sz w:val="24"/>
          <w:szCs w:val="24"/>
        </w:rPr>
      </w:pPr>
      <w:r>
        <w:rPr>
          <w:rFonts w:ascii="微软雅黑" w:hAnsi="微软雅黑" w:eastAsia="微软雅黑"/>
          <w:sz w:val="24"/>
          <w:szCs w:val="24"/>
        </w:rPr>
        <w:drawing>
          <wp:inline distT="0" distB="0" distL="114300" distR="114300">
            <wp:extent cx="5486400" cy="2720975"/>
            <wp:effectExtent l="0" t="0" r="0" b="6985"/>
            <wp:docPr id="1" name="对象 1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1" name="组合 0"/>
                    <a:cNvGrpSpPr/>
                  </a:nvGrpSpPr>
                  <a:grpSpPr>
                    <a:xfrm>
                      <a:off x="0" y="0"/>
                      <a:ext cx="8424936" cy="4177034"/>
                      <a:chOff x="467544" y="1196752"/>
                      <a:chExt cx="8424936" cy="4177034"/>
                    </a:xfrm>
                  </a:grpSpPr>
                  <a:grpSp>
                    <a:nvGrpSpPr>
                      <a:cNvPr id="40" name="组合 39"/>
                      <a:cNvGrpSpPr/>
                    </a:nvGrpSpPr>
                    <a:grpSpPr>
                      <a:xfrm>
                        <a:off x="467544" y="1196752"/>
                        <a:ext cx="8424936" cy="4177034"/>
                        <a:chOff x="467544" y="1196752"/>
                        <a:chExt cx="8424936" cy="4177034"/>
                      </a:xfrm>
                    </a:grpSpPr>
                    <a:cxnSp>
                      <a:nvCxnSpPr>
                        <a:cNvPr id="11" name="直接连接符 10"/>
                        <a:cNvCxnSpPr/>
                      </a:nvCxnSpPr>
                      <a:spPr>
                        <a:xfrm rot="5400000">
                          <a:off x="-756592" y="3573016"/>
                          <a:ext cx="3024336" cy="0"/>
                        </a:xfrm>
                        <a:prstGeom prst="line">
                          <a:avLst/>
                        </a:prstGeom>
                        <a:ln w="38100">
                          <a:solidFill>
                            <a:srgbClr val="0033CC"/>
                          </a:solidFill>
                        </a:ln>
                      </a:spPr>
                      <a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a:style>
                    </a:cxnSp>
                    <a:grpSp>
                      <a:nvGrpSpPr>
                        <a:cNvPr id="4" name="组合 55"/>
                        <a:cNvGrpSpPr/>
                      </a:nvGrpSpPr>
                      <a:grpSpPr>
                        <a:xfrm>
                          <a:off x="755576" y="2348880"/>
                          <a:ext cx="2160240" cy="3024906"/>
                          <a:chOff x="899592" y="2348880"/>
                          <a:chExt cx="2160240" cy="3024906"/>
                        </a:xfrm>
                      </a:grpSpPr>
                      <a:sp>
                        <a:nvSpPr>
                          <a:cNvPr id="13" name="圆角矩形 12"/>
                          <a:cNvSpPr/>
                        </a:nvSpPr>
                        <a:spPr>
                          <a:xfrm>
                            <a:off x="1115616" y="4725144"/>
                            <a:ext cx="1944216" cy="648642"/>
                          </a:xfrm>
                          <a:prstGeom prst="roundRect">
                            <a:avLst/>
                          </a:prstGeom>
                          <a:noFill/>
                          <a:ln w="19050">
                            <a:solidFill>
                              <a:srgbClr val="0033CC"/>
                            </a:solidFill>
                          </a:ln>
                        </a:spPr>
                        <a:txSp>
                          <a:txBody>
                            <a:bodyPr rtlCol="0" anchor="ctr"/>
                            <a:lstStyle>
                              <a:defPPr>
                                <a:defRPr lang="zh-CN"/>
                              </a:defPPr>
                              <a:lvl1pPr marL="0" algn="l" defTabSz="914400" rtl="0" eaLnBrk="1" latinLnBrk="0" hangingPunct="1">
                                <a:defRPr sz="1800"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1pPr>
                              <a:lvl2pPr marL="457200" algn="l" defTabSz="914400" rtl="0" eaLnBrk="1" latinLnBrk="0" hangingPunct="1">
                                <a:defRPr sz="1800"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2pPr>
                              <a:lvl3pPr marL="914400" algn="l" defTabSz="914400" rtl="0" eaLnBrk="1" latinLnBrk="0" hangingPunct="1">
                                <a:defRPr sz="1800"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3pPr>
                              <a:lvl4pPr marL="1371600" algn="l" defTabSz="914400" rtl="0" eaLnBrk="1" latinLnBrk="0" hangingPunct="1">
                                <a:defRPr sz="1800"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4pPr>
                              <a:lvl5pPr marL="1828800" algn="l" defTabSz="914400" rtl="0" eaLnBrk="1" latinLnBrk="0" hangingPunct="1">
                                <a:defRPr sz="1800"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5pPr>
                              <a:lvl6pPr marL="2286000" algn="l" defTabSz="914400" rtl="0" eaLnBrk="1" latinLnBrk="0" hangingPunct="1">
                                <a:defRPr sz="1800"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6pPr>
                              <a:lvl7pPr marL="2743200" algn="l" defTabSz="914400" rtl="0" eaLnBrk="1" latinLnBrk="0" hangingPunct="1">
                                <a:defRPr sz="1800"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7pPr>
                              <a:lvl8pPr marL="3200400" algn="l" defTabSz="914400" rtl="0" eaLnBrk="1" latinLnBrk="0" hangingPunct="1">
                                <a:defRPr sz="1800"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8pPr>
                              <a:lvl9pPr marL="3657600" algn="l" defTabSz="914400" rtl="0" eaLnBrk="1" latinLnBrk="0" hangingPunct="1">
                                <a:defRPr sz="1800"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9pPr>
                            </a:lstStyle>
                            <a:p>
                              <a:pPr algn="ctr"/>
                              <a:r>
                                <a:rPr lang="zh-CN" altLang="en-US" sz="2000" dirty="0" smtClean="0">
                                  <a:solidFill>
                                    <a:srgbClr val="0033CC"/>
                                  </a:solidFill>
                                  <a:latin typeface="黑体" panose="02010609060101010101" charset="-122"/>
                                  <a:ea typeface="黑体" panose="02010609060101010101" charset="-122"/>
                                </a:rPr>
                                <a:t>制作课件包</a:t>
                              </a:r>
                              <a:endParaRPr lang="zh-CN" altLang="en-US" sz="2000" dirty="0">
                                <a:solidFill>
                                  <a:srgbClr val="0033CC"/>
                                </a:solidFill>
                                <a:latin typeface="黑体" panose="02010609060101010101" charset="-122"/>
                                <a:ea typeface="黑体" panose="02010609060101010101" charset="-122"/>
                              </a:endParaRPr>
                            </a:p>
                          </a:txBody>
                          <a:useSpRect/>
                        </a:txSp>
                        <a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a:style>
                      </a:sp>
                      <a:sp>
                        <a:nvSpPr>
                          <a:cNvPr id="14" name="圆角矩形 13"/>
                          <a:cNvSpPr/>
                        </a:nvSpPr>
                        <a:spPr>
                          <a:xfrm>
                            <a:off x="1115616" y="3140398"/>
                            <a:ext cx="1944216" cy="648642"/>
                          </a:xfrm>
                          <a:prstGeom prst="roundRect">
                            <a:avLst/>
                          </a:prstGeom>
                          <a:noFill/>
                          <a:ln w="19050">
                            <a:solidFill>
                              <a:srgbClr val="0033CC"/>
                            </a:solidFill>
                          </a:ln>
                        </a:spPr>
                        <a:txSp>
                          <a:txBody>
                            <a:bodyPr rtlCol="0" anchor="ctr"/>
                            <a:lstStyle>
                              <a:defPPr>
                                <a:defRPr lang="zh-CN"/>
                              </a:defPPr>
                              <a:lvl1pPr marL="0" algn="l" defTabSz="914400" rtl="0" eaLnBrk="1" latinLnBrk="0" hangingPunct="1">
                                <a:defRPr sz="1800"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1pPr>
                              <a:lvl2pPr marL="457200" algn="l" defTabSz="914400" rtl="0" eaLnBrk="1" latinLnBrk="0" hangingPunct="1">
                                <a:defRPr sz="1800"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2pPr>
                              <a:lvl3pPr marL="914400" algn="l" defTabSz="914400" rtl="0" eaLnBrk="1" latinLnBrk="0" hangingPunct="1">
                                <a:defRPr sz="1800"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3pPr>
                              <a:lvl4pPr marL="1371600" algn="l" defTabSz="914400" rtl="0" eaLnBrk="1" latinLnBrk="0" hangingPunct="1">
                                <a:defRPr sz="1800"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4pPr>
                              <a:lvl5pPr marL="1828800" algn="l" defTabSz="914400" rtl="0" eaLnBrk="1" latinLnBrk="0" hangingPunct="1">
                                <a:defRPr sz="1800"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5pPr>
                              <a:lvl6pPr marL="2286000" algn="l" defTabSz="914400" rtl="0" eaLnBrk="1" latinLnBrk="0" hangingPunct="1">
                                <a:defRPr sz="1800"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6pPr>
                              <a:lvl7pPr marL="2743200" algn="l" defTabSz="914400" rtl="0" eaLnBrk="1" latinLnBrk="0" hangingPunct="1">
                                <a:defRPr sz="1800"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7pPr>
                              <a:lvl8pPr marL="3200400" algn="l" defTabSz="914400" rtl="0" eaLnBrk="1" latinLnBrk="0" hangingPunct="1">
                                <a:defRPr sz="1800"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8pPr>
                              <a:lvl9pPr marL="3657600" algn="l" defTabSz="914400" rtl="0" eaLnBrk="1" latinLnBrk="0" hangingPunct="1">
                                <a:defRPr sz="1800"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9pPr>
                            </a:lstStyle>
                            <a:p>
                              <a:pPr algn="ctr"/>
                              <a:r>
                                <a:rPr lang="zh-CN" altLang="en-US" sz="2000" dirty="0" smtClean="0">
                                  <a:solidFill>
                                    <a:srgbClr val="0033CC"/>
                                  </a:solidFill>
                                  <a:latin typeface="黑体" panose="02010609060101010101" charset="-122"/>
                                  <a:ea typeface="黑体" panose="02010609060101010101" charset="-122"/>
                                </a:rPr>
                                <a:t>课程设计</a:t>
                              </a:r>
                              <a:endParaRPr lang="en-US" altLang="zh-CN" sz="2000" dirty="0" smtClean="0">
                                <a:solidFill>
                                  <a:srgbClr val="0033CC"/>
                                </a:solidFill>
                                <a:latin typeface="黑体" panose="02010609060101010101" charset="-122"/>
                                <a:ea typeface="黑体" panose="02010609060101010101" charset="-122"/>
                              </a:endParaRPr>
                            </a:p>
                            <a:p>
                              <a:pPr algn="ctr"/>
                              <a:r>
                                <a:rPr lang="zh-CN" altLang="en-US" sz="2000" dirty="0" smtClean="0">
                                  <a:solidFill>
                                    <a:srgbClr val="0033CC"/>
                                  </a:solidFill>
                                  <a:latin typeface="黑体" panose="02010609060101010101" charset="-122"/>
                                  <a:ea typeface="黑体" panose="02010609060101010101" charset="-122"/>
                                </a:rPr>
                                <a:t>理论与方法</a:t>
                              </a:r>
                              <a:endParaRPr lang="zh-CN" altLang="en-US" sz="2000" dirty="0">
                                <a:solidFill>
                                  <a:srgbClr val="0033CC"/>
                                </a:solidFill>
                                <a:latin typeface="黑体" panose="02010609060101010101" charset="-122"/>
                                <a:ea typeface="黑体" panose="02010609060101010101" charset="-122"/>
                              </a:endParaRPr>
                            </a:p>
                          </a:txBody>
                          <a:useSpRect/>
                        </a:txSp>
                        <a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a:style>
                      </a:sp>
                      <a:sp>
                        <a:nvSpPr>
                          <a:cNvPr id="15" name="圆角矩形 14"/>
                          <a:cNvSpPr/>
                        </a:nvSpPr>
                        <a:spPr>
                          <a:xfrm>
                            <a:off x="1115616" y="3933056"/>
                            <a:ext cx="1944216" cy="648642"/>
                          </a:xfrm>
                          <a:prstGeom prst="roundRect">
                            <a:avLst/>
                          </a:prstGeom>
                          <a:noFill/>
                          <a:ln w="19050">
                            <a:solidFill>
                              <a:srgbClr val="0033CC"/>
                            </a:solidFill>
                          </a:ln>
                        </a:spPr>
                        <a:txSp>
                          <a:txBody>
                            <a:bodyPr rtlCol="0" anchor="ctr"/>
                            <a:lstStyle>
                              <a:defPPr>
                                <a:defRPr lang="zh-CN"/>
                              </a:defPPr>
                              <a:lvl1pPr marL="0" algn="l" defTabSz="914400" rtl="0" eaLnBrk="1" latinLnBrk="0" hangingPunct="1">
                                <a:defRPr sz="1800"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1pPr>
                              <a:lvl2pPr marL="457200" algn="l" defTabSz="914400" rtl="0" eaLnBrk="1" latinLnBrk="0" hangingPunct="1">
                                <a:defRPr sz="1800"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2pPr>
                              <a:lvl3pPr marL="914400" algn="l" defTabSz="914400" rtl="0" eaLnBrk="1" latinLnBrk="0" hangingPunct="1">
                                <a:defRPr sz="1800"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3pPr>
                              <a:lvl4pPr marL="1371600" algn="l" defTabSz="914400" rtl="0" eaLnBrk="1" latinLnBrk="0" hangingPunct="1">
                                <a:defRPr sz="1800"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4pPr>
                              <a:lvl5pPr marL="1828800" algn="l" defTabSz="914400" rtl="0" eaLnBrk="1" latinLnBrk="0" hangingPunct="1">
                                <a:defRPr sz="1800"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5pPr>
                              <a:lvl6pPr marL="2286000" algn="l" defTabSz="914400" rtl="0" eaLnBrk="1" latinLnBrk="0" hangingPunct="1">
                                <a:defRPr sz="1800"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6pPr>
                              <a:lvl7pPr marL="2743200" algn="l" defTabSz="914400" rtl="0" eaLnBrk="1" latinLnBrk="0" hangingPunct="1">
                                <a:defRPr sz="1800"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7pPr>
                              <a:lvl8pPr marL="3200400" algn="l" defTabSz="914400" rtl="0" eaLnBrk="1" latinLnBrk="0" hangingPunct="1">
                                <a:defRPr sz="1800"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8pPr>
                              <a:lvl9pPr marL="3657600" algn="l" defTabSz="914400" rtl="0" eaLnBrk="1" latinLnBrk="0" hangingPunct="1">
                                <a:defRPr sz="1800"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9pPr>
                            </a:lstStyle>
                            <a:p>
                              <a:pPr algn="ctr"/>
                              <a:r>
                                <a:rPr lang="zh-CN" altLang="en-US" sz="2000" dirty="0" smtClean="0">
                                  <a:solidFill>
                                    <a:srgbClr val="0033CC"/>
                                  </a:solidFill>
                                  <a:latin typeface="黑体" panose="02010609060101010101" charset="-122"/>
                                  <a:ea typeface="黑体" panose="02010609060101010101" charset="-122"/>
                                </a:rPr>
                                <a:t>课程开发</a:t>
                              </a:r>
                              <a:endParaRPr lang="en-US" altLang="zh-CN" sz="2000" dirty="0" smtClean="0">
                                <a:solidFill>
                                  <a:srgbClr val="0033CC"/>
                                </a:solidFill>
                                <a:latin typeface="黑体" panose="02010609060101010101" charset="-122"/>
                                <a:ea typeface="黑体" panose="02010609060101010101" charset="-122"/>
                              </a:endParaRPr>
                            </a:p>
                            <a:p>
                              <a:pPr algn="ctr"/>
                              <a:r>
                                <a:rPr lang="zh-CN" altLang="en-US" sz="2000" dirty="0" smtClean="0">
                                  <a:solidFill>
                                    <a:srgbClr val="0033CC"/>
                                  </a:solidFill>
                                  <a:latin typeface="黑体" panose="02010609060101010101" charset="-122"/>
                                  <a:ea typeface="黑体" panose="02010609060101010101" charset="-122"/>
                                </a:rPr>
                                <a:t>理论与方法</a:t>
                              </a:r>
                              <a:endParaRPr lang="zh-CN" altLang="en-US" sz="2000" dirty="0">
                                <a:solidFill>
                                  <a:srgbClr val="0033CC"/>
                                </a:solidFill>
                                <a:latin typeface="黑体" panose="02010609060101010101" charset="-122"/>
                                <a:ea typeface="黑体" panose="02010609060101010101" charset="-122"/>
                              </a:endParaRPr>
                            </a:p>
                          </a:txBody>
                          <a:useSpRect/>
                        </a:txSp>
                        <a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a:style>
                      </a:sp>
                      <a:sp>
                        <a:nvSpPr>
                          <a:cNvPr id="16" name="圆角矩形 15"/>
                          <a:cNvSpPr/>
                        </a:nvSpPr>
                        <a:spPr>
                          <a:xfrm>
                            <a:off x="1115616" y="2348880"/>
                            <a:ext cx="1944216" cy="648642"/>
                          </a:xfrm>
                          <a:prstGeom prst="roundRect">
                            <a:avLst/>
                          </a:prstGeom>
                          <a:noFill/>
                          <a:ln w="19050">
                            <a:solidFill>
                              <a:srgbClr val="0033CC"/>
                            </a:solidFill>
                          </a:ln>
                        </a:spPr>
                        <a:txSp>
                          <a:txBody>
                            <a:bodyPr rtlCol="0" anchor="ctr"/>
                            <a:lstStyle>
                              <a:defPPr>
                                <a:defRPr lang="zh-CN"/>
                              </a:defPPr>
                              <a:lvl1pPr marL="0" algn="l" defTabSz="914400" rtl="0" eaLnBrk="1" latinLnBrk="0" hangingPunct="1">
                                <a:defRPr sz="1800"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1pPr>
                              <a:lvl2pPr marL="457200" algn="l" defTabSz="914400" rtl="0" eaLnBrk="1" latinLnBrk="0" hangingPunct="1">
                                <a:defRPr sz="1800"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2pPr>
                              <a:lvl3pPr marL="914400" algn="l" defTabSz="914400" rtl="0" eaLnBrk="1" latinLnBrk="0" hangingPunct="1">
                                <a:defRPr sz="1800"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3pPr>
                              <a:lvl4pPr marL="1371600" algn="l" defTabSz="914400" rtl="0" eaLnBrk="1" latinLnBrk="0" hangingPunct="1">
                                <a:defRPr sz="1800"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4pPr>
                              <a:lvl5pPr marL="1828800" algn="l" defTabSz="914400" rtl="0" eaLnBrk="1" latinLnBrk="0" hangingPunct="1">
                                <a:defRPr sz="1800"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5pPr>
                              <a:lvl6pPr marL="2286000" algn="l" defTabSz="914400" rtl="0" eaLnBrk="1" latinLnBrk="0" hangingPunct="1">
                                <a:defRPr sz="1800"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6pPr>
                              <a:lvl7pPr marL="2743200" algn="l" defTabSz="914400" rtl="0" eaLnBrk="1" latinLnBrk="0" hangingPunct="1">
                                <a:defRPr sz="1800"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7pPr>
                              <a:lvl8pPr marL="3200400" algn="l" defTabSz="914400" rtl="0" eaLnBrk="1" latinLnBrk="0" hangingPunct="1">
                                <a:defRPr sz="1800"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8pPr>
                              <a:lvl9pPr marL="3657600" algn="l" defTabSz="914400" rtl="0" eaLnBrk="1" latinLnBrk="0" hangingPunct="1">
                                <a:defRPr sz="1800"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9pPr>
                            </a:lstStyle>
                            <a:p>
                              <a:pPr algn="ctr"/>
                              <a:r>
                                <a:rPr lang="zh-CN" altLang="en-US" sz="2000" dirty="0" smtClean="0">
                                  <a:solidFill>
                                    <a:srgbClr val="0033CC"/>
                                  </a:solidFill>
                                  <a:latin typeface="黑体" panose="02010609060101010101" charset="-122"/>
                                  <a:ea typeface="黑体" panose="02010609060101010101" charset="-122"/>
                                </a:rPr>
                                <a:t>教学指导理论</a:t>
                              </a:r>
                              <a:endParaRPr lang="en-US" altLang="zh-CN" sz="2000" dirty="0" smtClean="0">
                                <a:solidFill>
                                  <a:srgbClr val="0033CC"/>
                                </a:solidFill>
                                <a:latin typeface="黑体" panose="02010609060101010101" charset="-122"/>
                                <a:ea typeface="黑体" panose="02010609060101010101" charset="-122"/>
                              </a:endParaRPr>
                            </a:p>
                          </a:txBody>
                          <a:useSpRect/>
                        </a:txSp>
                        <a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a:style>
                      </a:sp>
                      <a:cxnSp>
                        <a:nvCxnSpPr>
                          <a:cNvPr id="17" name="直接连接符 16"/>
                          <a:cNvCxnSpPr/>
                        </a:nvCxnSpPr>
                        <a:spPr>
                          <a:xfrm>
                            <a:off x="899592" y="2636912"/>
                            <a:ext cx="216024" cy="0"/>
                          </a:xfrm>
                          <a:prstGeom prst="line">
                            <a:avLst/>
                          </a:prstGeom>
                          <a:ln w="38100">
                            <a:solidFill>
                              <a:srgbClr val="0033CC"/>
                            </a:solidFill>
                          </a:ln>
                        </a:spPr>
                        <a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a:style>
                      </a:cxnSp>
                      <a:cxnSp>
                        <a:nvCxnSpPr>
                          <a:cNvPr id="18" name="直接连接符 17"/>
                          <a:cNvCxnSpPr/>
                        </a:nvCxnSpPr>
                        <a:spPr>
                          <a:xfrm>
                            <a:off x="899592" y="3501008"/>
                            <a:ext cx="216024" cy="0"/>
                          </a:xfrm>
                          <a:prstGeom prst="line">
                            <a:avLst/>
                          </a:prstGeom>
                          <a:ln w="38100">
                            <a:solidFill>
                              <a:srgbClr val="0033CC"/>
                            </a:solidFill>
                          </a:ln>
                        </a:spPr>
                        <a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a:style>
                      </a:cxnSp>
                      <a:cxnSp>
                        <a:nvCxnSpPr>
                          <a:cNvPr id="19" name="直接连接符 18"/>
                          <a:cNvCxnSpPr/>
                        </a:nvCxnSpPr>
                        <a:spPr>
                          <a:xfrm>
                            <a:off x="899592" y="4293096"/>
                            <a:ext cx="216024" cy="0"/>
                          </a:xfrm>
                          <a:prstGeom prst="line">
                            <a:avLst/>
                          </a:prstGeom>
                          <a:ln w="38100">
                            <a:solidFill>
                              <a:srgbClr val="0033CC"/>
                            </a:solidFill>
                          </a:ln>
                        </a:spPr>
                        <a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a:style>
                      </a:cxnSp>
                      <a:cxnSp>
                        <a:nvCxnSpPr>
                          <a:cNvPr id="20" name="直接连接符 19"/>
                          <a:cNvCxnSpPr/>
                        </a:nvCxnSpPr>
                        <a:spPr>
                          <a:xfrm>
                            <a:off x="899592" y="5085184"/>
                            <a:ext cx="216024" cy="0"/>
                          </a:xfrm>
                          <a:prstGeom prst="line">
                            <a:avLst/>
                          </a:prstGeom>
                          <a:ln w="38100">
                            <a:solidFill>
                              <a:srgbClr val="0033CC"/>
                            </a:solidFill>
                          </a:ln>
                        </a:spPr>
                        <a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a:style>
                      </a:cxnSp>
                    </a:grpSp>
                    <a:grpSp>
                      <a:nvGrpSpPr>
                        <a:cNvPr id="5" name="组合 3"/>
                        <a:cNvGrpSpPr/>
                      </a:nvGrpSpPr>
                      <a:grpSpPr>
                        <a:xfrm>
                          <a:off x="467544" y="1196752"/>
                          <a:ext cx="8033546" cy="864096"/>
                          <a:chOff x="611560" y="1196752"/>
                          <a:chExt cx="8033546" cy="864096"/>
                        </a:xfrm>
                      </a:grpSpPr>
                      <a:sp>
                        <a:nvSpPr>
                          <a:cNvPr id="2" name="圆角矩形 4"/>
                          <a:cNvSpPr/>
                        </a:nvSpPr>
                        <a:spPr>
                          <a:xfrm>
                            <a:off x="611560" y="1196752"/>
                            <a:ext cx="2032754" cy="864096"/>
                          </a:xfrm>
                          <a:prstGeom prst="roundRect">
                            <a:avLst/>
                          </a:prstGeom>
                          <a:noFill/>
                          <a:ln w="19050">
                            <a:solidFill>
                              <a:srgbClr val="0033CC"/>
                            </a:solidFill>
                          </a:ln>
                        </a:spPr>
                        <a:txSp>
                          <a:txBody>
                            <a:bodyPr rtlCol="0" anchor="ctr"/>
                            <a:lstStyle>
                              <a:defPPr>
                                <a:defRPr lang="zh-CN"/>
                              </a:defPPr>
                              <a:lvl1pPr marL="0" algn="l" defTabSz="914400" rtl="0" eaLnBrk="1" latinLnBrk="0" hangingPunct="1">
                                <a:defRPr sz="1800"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1pPr>
                              <a:lvl2pPr marL="457200" algn="l" defTabSz="914400" rtl="0" eaLnBrk="1" latinLnBrk="0" hangingPunct="1">
                                <a:defRPr sz="1800"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2pPr>
                              <a:lvl3pPr marL="914400" algn="l" defTabSz="914400" rtl="0" eaLnBrk="1" latinLnBrk="0" hangingPunct="1">
                                <a:defRPr sz="1800"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3pPr>
                              <a:lvl4pPr marL="1371600" algn="l" defTabSz="914400" rtl="0" eaLnBrk="1" latinLnBrk="0" hangingPunct="1">
                                <a:defRPr sz="1800"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4pPr>
                              <a:lvl5pPr marL="1828800" algn="l" defTabSz="914400" rtl="0" eaLnBrk="1" latinLnBrk="0" hangingPunct="1">
                                <a:defRPr sz="1800"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5pPr>
                              <a:lvl6pPr marL="2286000" algn="l" defTabSz="914400" rtl="0" eaLnBrk="1" latinLnBrk="0" hangingPunct="1">
                                <a:defRPr sz="1800"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6pPr>
                              <a:lvl7pPr marL="2743200" algn="l" defTabSz="914400" rtl="0" eaLnBrk="1" latinLnBrk="0" hangingPunct="1">
                                <a:defRPr sz="1800"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7pPr>
                              <a:lvl8pPr marL="3200400" algn="l" defTabSz="914400" rtl="0" eaLnBrk="1" latinLnBrk="0" hangingPunct="1">
                                <a:defRPr sz="1800"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8pPr>
                              <a:lvl9pPr marL="3657600" algn="l" defTabSz="914400" rtl="0" eaLnBrk="1" latinLnBrk="0" hangingPunct="1">
                                <a:defRPr sz="1800"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9pPr>
                            </a:lstStyle>
                            <a:p>
                              <a:pPr algn="ctr"/>
                              <a:r>
                                <a:rPr lang="zh-CN" altLang="en-US" sz="2800" dirty="0" smtClean="0">
                                  <a:solidFill>
                                    <a:srgbClr val="C00000"/>
                                  </a:solidFill>
                                  <a:latin typeface="黑体" panose="02010609060101010101" charset="-122"/>
                                  <a:ea typeface="黑体" panose="02010609060101010101" charset="-122"/>
                                </a:rPr>
                                <a:t>课堂培训</a:t>
                              </a:r>
                              <a:endParaRPr lang="zh-CN" altLang="en-US" sz="2800" dirty="0">
                                <a:solidFill>
                                  <a:srgbClr val="C00000"/>
                                </a:solidFill>
                                <a:latin typeface="黑体" panose="02010609060101010101" charset="-122"/>
                                <a:ea typeface="黑体" panose="02010609060101010101" charset="-122"/>
                              </a:endParaRPr>
                            </a:p>
                          </a:txBody>
                          <a:useSpRect/>
                        </a:txSp>
                        <a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a:style>
                      </a:sp>
                      <a:sp>
                        <a:nvSpPr>
                          <a:cNvPr id="3" name="圆角矩形 5"/>
                          <a:cNvSpPr/>
                        </a:nvSpPr>
                        <a:spPr>
                          <a:xfrm>
                            <a:off x="3563888" y="1196752"/>
                            <a:ext cx="2009384" cy="864096"/>
                          </a:xfrm>
                          <a:prstGeom prst="roundRect">
                            <a:avLst/>
                          </a:prstGeom>
                          <a:noFill/>
                          <a:ln w="19050">
                            <a:solidFill>
                              <a:srgbClr val="0033CC"/>
                            </a:solidFill>
                          </a:ln>
                        </a:spPr>
                        <a:txSp>
                          <a:txBody>
                            <a:bodyPr rtlCol="0" anchor="ctr"/>
                            <a:lstStyle>
                              <a:defPPr>
                                <a:defRPr lang="zh-CN"/>
                              </a:defPPr>
                              <a:lvl1pPr marL="0" algn="l" defTabSz="914400" rtl="0" eaLnBrk="1" latinLnBrk="0" hangingPunct="1">
                                <a:defRPr sz="1800"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1pPr>
                              <a:lvl2pPr marL="457200" algn="l" defTabSz="914400" rtl="0" eaLnBrk="1" latinLnBrk="0" hangingPunct="1">
                                <a:defRPr sz="1800"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2pPr>
                              <a:lvl3pPr marL="914400" algn="l" defTabSz="914400" rtl="0" eaLnBrk="1" latinLnBrk="0" hangingPunct="1">
                                <a:defRPr sz="1800"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3pPr>
                              <a:lvl4pPr marL="1371600" algn="l" defTabSz="914400" rtl="0" eaLnBrk="1" latinLnBrk="0" hangingPunct="1">
                                <a:defRPr sz="1800"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4pPr>
                              <a:lvl5pPr marL="1828800" algn="l" defTabSz="914400" rtl="0" eaLnBrk="1" latinLnBrk="0" hangingPunct="1">
                                <a:defRPr sz="1800"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5pPr>
                              <a:lvl6pPr marL="2286000" algn="l" defTabSz="914400" rtl="0" eaLnBrk="1" latinLnBrk="0" hangingPunct="1">
                                <a:defRPr sz="1800"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6pPr>
                              <a:lvl7pPr marL="2743200" algn="l" defTabSz="914400" rtl="0" eaLnBrk="1" latinLnBrk="0" hangingPunct="1">
                                <a:defRPr sz="1800"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7pPr>
                              <a:lvl8pPr marL="3200400" algn="l" defTabSz="914400" rtl="0" eaLnBrk="1" latinLnBrk="0" hangingPunct="1">
                                <a:defRPr sz="1800"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8pPr>
                              <a:lvl9pPr marL="3657600" algn="l" defTabSz="914400" rtl="0" eaLnBrk="1" latinLnBrk="0" hangingPunct="1">
                                <a:defRPr sz="1800"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9pPr>
                            </a:lstStyle>
                            <a:p>
                              <a:pPr algn="ctr"/>
                              <a:r>
                                <a:rPr lang="zh-CN" altLang="en-US" sz="2800" dirty="0" smtClean="0">
                                  <a:solidFill>
                                    <a:srgbClr val="C00000"/>
                                  </a:solidFill>
                                  <a:latin typeface="黑体" panose="02010609060101010101" charset="-122"/>
                                  <a:ea typeface="黑体" panose="02010609060101010101" charset="-122"/>
                                </a:rPr>
                                <a:t>实践练习</a:t>
                              </a:r>
                              <a:endParaRPr lang="zh-CN" altLang="en-US" sz="2800" dirty="0">
                                <a:solidFill>
                                  <a:srgbClr val="C00000"/>
                                </a:solidFill>
                                <a:latin typeface="黑体" panose="02010609060101010101" charset="-122"/>
                                <a:ea typeface="黑体" panose="02010609060101010101" charset="-122"/>
                              </a:endParaRPr>
                            </a:p>
                          </a:txBody>
                          <a:useSpRect/>
                        </a:txSp>
                        <a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a:style>
                      </a:sp>
                      <a:sp>
                        <a:nvSpPr>
                          <a:cNvPr id="8" name="圆角矩形 6"/>
                          <a:cNvSpPr/>
                        </a:nvSpPr>
                        <a:spPr>
                          <a:xfrm>
                            <a:off x="6588224" y="1196752"/>
                            <a:ext cx="2056882" cy="864096"/>
                          </a:xfrm>
                          <a:prstGeom prst="roundRect">
                            <a:avLst/>
                          </a:prstGeom>
                          <a:noFill/>
                          <a:ln w="19050">
                            <a:solidFill>
                              <a:srgbClr val="0033CC"/>
                            </a:solidFill>
                          </a:ln>
                        </a:spPr>
                        <a:txSp>
                          <a:txBody>
                            <a:bodyPr rtlCol="0" anchor="ctr"/>
                            <a:lstStyle>
                              <a:defPPr>
                                <a:defRPr lang="zh-CN"/>
                              </a:defPPr>
                              <a:lvl1pPr marL="0" algn="l" defTabSz="914400" rtl="0" eaLnBrk="1" latinLnBrk="0" hangingPunct="1">
                                <a:defRPr sz="1800"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1pPr>
                              <a:lvl2pPr marL="457200" algn="l" defTabSz="914400" rtl="0" eaLnBrk="1" latinLnBrk="0" hangingPunct="1">
                                <a:defRPr sz="1800"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2pPr>
                              <a:lvl3pPr marL="914400" algn="l" defTabSz="914400" rtl="0" eaLnBrk="1" latinLnBrk="0" hangingPunct="1">
                                <a:defRPr sz="1800"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3pPr>
                              <a:lvl4pPr marL="1371600" algn="l" defTabSz="914400" rtl="0" eaLnBrk="1" latinLnBrk="0" hangingPunct="1">
                                <a:defRPr sz="1800"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4pPr>
                              <a:lvl5pPr marL="1828800" algn="l" defTabSz="914400" rtl="0" eaLnBrk="1" latinLnBrk="0" hangingPunct="1">
                                <a:defRPr sz="1800"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5pPr>
                              <a:lvl6pPr marL="2286000" algn="l" defTabSz="914400" rtl="0" eaLnBrk="1" latinLnBrk="0" hangingPunct="1">
                                <a:defRPr sz="1800"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6pPr>
                              <a:lvl7pPr marL="2743200" algn="l" defTabSz="914400" rtl="0" eaLnBrk="1" latinLnBrk="0" hangingPunct="1">
                                <a:defRPr sz="1800"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7pPr>
                              <a:lvl8pPr marL="3200400" algn="l" defTabSz="914400" rtl="0" eaLnBrk="1" latinLnBrk="0" hangingPunct="1">
                                <a:defRPr sz="1800"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8pPr>
                              <a:lvl9pPr marL="3657600" algn="l" defTabSz="914400" rtl="0" eaLnBrk="1" latinLnBrk="0" hangingPunct="1">
                                <a:defRPr sz="1800"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9pPr>
                            </a:lstStyle>
                            <a:p>
                              <a:pPr algn="ctr"/>
                              <a:r>
                                <a:rPr lang="zh-CN" altLang="en-US" sz="2800" dirty="0" smtClean="0">
                                  <a:solidFill>
                                    <a:srgbClr val="C00000"/>
                                  </a:solidFill>
                                  <a:latin typeface="黑体" panose="02010609060101010101" charset="-122"/>
                                  <a:ea typeface="黑体" panose="02010609060101010101" charset="-122"/>
                                </a:rPr>
                                <a:t>总结与评估</a:t>
                              </a:r>
                              <a:endParaRPr lang="zh-CN" altLang="en-US" sz="2800" dirty="0">
                                <a:solidFill>
                                  <a:srgbClr val="C00000"/>
                                </a:solidFill>
                                <a:latin typeface="黑体" panose="02010609060101010101" charset="-122"/>
                                <a:ea typeface="黑体" panose="02010609060101010101" charset="-122"/>
                              </a:endParaRPr>
                            </a:p>
                          </a:txBody>
                          <a:useSpRect/>
                        </a:txSp>
                        <a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a:style>
                      </a:sp>
                      <a:cxnSp>
                        <a:nvCxnSpPr>
                          <a:cNvPr id="9" name="直接箭头连接符 7"/>
                          <a:cNvCxnSpPr>
                            <a:stCxn id="5" idx="3"/>
                            <a:endCxn id="6" idx="1"/>
                          </a:cNvCxnSpPr>
                        </a:nvCxnSpPr>
                        <a:spPr>
                          <a:xfrm>
                            <a:off x="2644314" y="1628800"/>
                            <a:ext cx="919574" cy="1588"/>
                          </a:xfrm>
                          <a:prstGeom prst="straightConnector1">
                            <a:avLst/>
                          </a:prstGeom>
                          <a:ln w="50800">
                            <a:solidFill>
                              <a:srgbClr val="0033CC"/>
                            </a:solidFill>
                            <a:prstDash val="sysDash"/>
                            <a:tailEnd type="triangle"/>
                          </a:ln>
                        </a:spPr>
                        <a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a:style>
                      </a:cxnSp>
                      <a:cxnSp>
                        <a:nvCxnSpPr>
                          <a:cNvPr id="10" name="直接箭头连接符 8"/>
                          <a:cNvCxnSpPr>
                            <a:stCxn id="6" idx="3"/>
                          </a:cNvCxnSpPr>
                        </a:nvCxnSpPr>
                        <a:spPr>
                          <a:xfrm>
                            <a:off x="5573272" y="1628800"/>
                            <a:ext cx="1014952" cy="1588"/>
                          </a:xfrm>
                          <a:prstGeom prst="straightConnector1">
                            <a:avLst/>
                          </a:prstGeom>
                          <a:ln w="50800">
                            <a:solidFill>
                              <a:srgbClr val="0033CC"/>
                            </a:solidFill>
                            <a:prstDash val="sysDash"/>
                            <a:tailEnd type="triangle"/>
                          </a:ln>
                        </a:spPr>
                        <a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a:style>
                      </a:cxnSp>
                    </a:grpSp>
                    <a:grpSp>
                      <a:nvGrpSpPr>
                        <a:cNvPr id="6" name="组合 20"/>
                        <a:cNvGrpSpPr/>
                      </a:nvGrpSpPr>
                      <a:grpSpPr>
                        <a:xfrm>
                          <a:off x="6715140" y="2060848"/>
                          <a:ext cx="2177340" cy="2725474"/>
                          <a:chOff x="6859156" y="2060848"/>
                          <a:chExt cx="2177340" cy="2725474"/>
                        </a:xfrm>
                      </a:grpSpPr>
                      <a:sp>
                        <a:nvSpPr>
                          <a:cNvPr id="22" name="圆角矩形 21"/>
                          <a:cNvSpPr/>
                        </a:nvSpPr>
                        <a:spPr>
                          <a:xfrm>
                            <a:off x="7092280" y="2348880"/>
                            <a:ext cx="1944216" cy="648642"/>
                          </a:xfrm>
                          <a:prstGeom prst="roundRect">
                            <a:avLst/>
                          </a:prstGeom>
                          <a:noFill/>
                          <a:ln w="19050">
                            <a:solidFill>
                              <a:srgbClr val="0033CC"/>
                            </a:solidFill>
                          </a:ln>
                        </a:spPr>
                        <a:txSp>
                          <a:txBody>
                            <a:bodyPr rtlCol="0" anchor="ctr"/>
                            <a:lstStyle>
                              <a:defPPr>
                                <a:defRPr lang="zh-CN"/>
                              </a:defPPr>
                              <a:lvl1pPr marL="0" algn="l" defTabSz="914400" rtl="0" eaLnBrk="1" latinLnBrk="0" hangingPunct="1">
                                <a:defRPr sz="1800"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1pPr>
                              <a:lvl2pPr marL="457200" algn="l" defTabSz="914400" rtl="0" eaLnBrk="1" latinLnBrk="0" hangingPunct="1">
                                <a:defRPr sz="1800"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2pPr>
                              <a:lvl3pPr marL="914400" algn="l" defTabSz="914400" rtl="0" eaLnBrk="1" latinLnBrk="0" hangingPunct="1">
                                <a:defRPr sz="1800"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3pPr>
                              <a:lvl4pPr marL="1371600" algn="l" defTabSz="914400" rtl="0" eaLnBrk="1" latinLnBrk="0" hangingPunct="1">
                                <a:defRPr sz="1800"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4pPr>
                              <a:lvl5pPr marL="1828800" algn="l" defTabSz="914400" rtl="0" eaLnBrk="1" latinLnBrk="0" hangingPunct="1">
                                <a:defRPr sz="1800"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5pPr>
                              <a:lvl6pPr marL="2286000" algn="l" defTabSz="914400" rtl="0" eaLnBrk="1" latinLnBrk="0" hangingPunct="1">
                                <a:defRPr sz="1800"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6pPr>
                              <a:lvl7pPr marL="2743200" algn="l" defTabSz="914400" rtl="0" eaLnBrk="1" latinLnBrk="0" hangingPunct="1">
                                <a:defRPr sz="1800"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7pPr>
                              <a:lvl8pPr marL="3200400" algn="l" defTabSz="914400" rtl="0" eaLnBrk="1" latinLnBrk="0" hangingPunct="1">
                                <a:defRPr sz="1800"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8pPr>
                              <a:lvl9pPr marL="3657600" algn="l" defTabSz="914400" rtl="0" eaLnBrk="1" latinLnBrk="0" hangingPunct="1">
                                <a:defRPr sz="1800"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9pPr>
                            </a:lstStyle>
                            <a:p>
                              <a:pPr algn="ctr"/>
                              <a:r>
                                <a:rPr lang="zh-CN" altLang="en-US" sz="2000" dirty="0" smtClean="0">
                                  <a:solidFill>
                                    <a:srgbClr val="0033CC"/>
                                  </a:solidFill>
                                  <a:latin typeface="黑体" panose="02010609060101010101" charset="-122"/>
                                  <a:ea typeface="黑体" panose="02010609060101010101" charset="-122"/>
                                </a:rPr>
                                <a:t>展示开发成果</a:t>
                              </a:r>
                              <a:endParaRPr lang="zh-CN" altLang="en-US" sz="2000" dirty="0">
                                <a:solidFill>
                                  <a:srgbClr val="0033CC"/>
                                </a:solidFill>
                                <a:latin typeface="黑体" panose="02010609060101010101" charset="-122"/>
                                <a:ea typeface="黑体" panose="02010609060101010101" charset="-122"/>
                              </a:endParaRPr>
                            </a:p>
                          </a:txBody>
                          <a:useSpRect/>
                        </a:txSp>
                        <a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a:style>
                      </a:sp>
                      <a:sp>
                        <a:nvSpPr>
                          <a:cNvPr id="24" name="圆角矩形 23"/>
                          <a:cNvSpPr/>
                        </a:nvSpPr>
                        <a:spPr>
                          <a:xfrm>
                            <a:off x="7092280" y="3214686"/>
                            <a:ext cx="1944216" cy="648642"/>
                          </a:xfrm>
                          <a:prstGeom prst="roundRect">
                            <a:avLst/>
                          </a:prstGeom>
                          <a:noFill/>
                          <a:ln w="19050">
                            <a:solidFill>
                              <a:srgbClr val="0033CC"/>
                            </a:solidFill>
                          </a:ln>
                        </a:spPr>
                        <a:txSp>
                          <a:txBody>
                            <a:bodyPr rtlCol="0" anchor="ctr"/>
                            <a:lstStyle>
                              <a:defPPr>
                                <a:defRPr lang="zh-CN"/>
                              </a:defPPr>
                              <a:lvl1pPr marL="0" algn="l" defTabSz="914400" rtl="0" eaLnBrk="1" latinLnBrk="0" hangingPunct="1">
                                <a:defRPr sz="1800"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1pPr>
                              <a:lvl2pPr marL="457200" algn="l" defTabSz="914400" rtl="0" eaLnBrk="1" latinLnBrk="0" hangingPunct="1">
                                <a:defRPr sz="1800"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2pPr>
                              <a:lvl3pPr marL="914400" algn="l" defTabSz="914400" rtl="0" eaLnBrk="1" latinLnBrk="0" hangingPunct="1">
                                <a:defRPr sz="1800"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3pPr>
                              <a:lvl4pPr marL="1371600" algn="l" defTabSz="914400" rtl="0" eaLnBrk="1" latinLnBrk="0" hangingPunct="1">
                                <a:defRPr sz="1800"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4pPr>
                              <a:lvl5pPr marL="1828800" algn="l" defTabSz="914400" rtl="0" eaLnBrk="1" latinLnBrk="0" hangingPunct="1">
                                <a:defRPr sz="1800"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5pPr>
                              <a:lvl6pPr marL="2286000" algn="l" defTabSz="914400" rtl="0" eaLnBrk="1" latinLnBrk="0" hangingPunct="1">
                                <a:defRPr sz="1800"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6pPr>
                              <a:lvl7pPr marL="2743200" algn="l" defTabSz="914400" rtl="0" eaLnBrk="1" latinLnBrk="0" hangingPunct="1">
                                <a:defRPr sz="1800"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7pPr>
                              <a:lvl8pPr marL="3200400" algn="l" defTabSz="914400" rtl="0" eaLnBrk="1" latinLnBrk="0" hangingPunct="1">
                                <a:defRPr sz="1800"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8pPr>
                              <a:lvl9pPr marL="3657600" algn="l" defTabSz="914400" rtl="0" eaLnBrk="1" latinLnBrk="0" hangingPunct="1">
                                <a:defRPr sz="1800"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9pPr>
                            </a:lstStyle>
                            <a:p>
                              <a:pPr algn="ctr"/>
                              <a:r>
                                <a:rPr lang="zh-CN" altLang="en-US" sz="2000" dirty="0" smtClean="0">
                                  <a:solidFill>
                                    <a:srgbClr val="0033CC"/>
                                  </a:solidFill>
                                  <a:latin typeface="黑体" panose="02010609060101010101" charset="-122"/>
                                  <a:ea typeface="黑体" panose="02010609060101010101" charset="-122"/>
                                </a:rPr>
                                <a:t>评估成果</a:t>
                              </a:r>
                              <a:endParaRPr lang="zh-CN" altLang="en-US" sz="2000" dirty="0">
                                <a:solidFill>
                                  <a:srgbClr val="0033CC"/>
                                </a:solidFill>
                                <a:latin typeface="黑体" panose="02010609060101010101" charset="-122"/>
                                <a:ea typeface="黑体" panose="02010609060101010101" charset="-122"/>
                              </a:endParaRPr>
                            </a:p>
                          </a:txBody>
                          <a:useSpRect/>
                        </a:txSp>
                        <a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a:style>
                      </a:sp>
                      <a:sp>
                        <a:nvSpPr>
                          <a:cNvPr id="25" name="圆角矩形 24"/>
                          <a:cNvSpPr/>
                        </a:nvSpPr>
                        <a:spPr>
                          <a:xfrm>
                            <a:off x="7092280" y="4137680"/>
                            <a:ext cx="1944216" cy="648642"/>
                          </a:xfrm>
                          <a:prstGeom prst="roundRect">
                            <a:avLst/>
                          </a:prstGeom>
                          <a:noFill/>
                          <a:ln w="19050">
                            <a:solidFill>
                              <a:srgbClr val="0033CC"/>
                            </a:solidFill>
                          </a:ln>
                        </a:spPr>
                        <a:txSp>
                          <a:txBody>
                            <a:bodyPr rtlCol="0" anchor="ctr"/>
                            <a:lstStyle>
                              <a:defPPr>
                                <a:defRPr lang="zh-CN"/>
                              </a:defPPr>
                              <a:lvl1pPr marL="0" algn="l" defTabSz="914400" rtl="0" eaLnBrk="1" latinLnBrk="0" hangingPunct="1">
                                <a:defRPr sz="1800"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1pPr>
                              <a:lvl2pPr marL="457200" algn="l" defTabSz="914400" rtl="0" eaLnBrk="1" latinLnBrk="0" hangingPunct="1">
                                <a:defRPr sz="1800"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2pPr>
                              <a:lvl3pPr marL="914400" algn="l" defTabSz="914400" rtl="0" eaLnBrk="1" latinLnBrk="0" hangingPunct="1">
                                <a:defRPr sz="1800"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3pPr>
                              <a:lvl4pPr marL="1371600" algn="l" defTabSz="914400" rtl="0" eaLnBrk="1" latinLnBrk="0" hangingPunct="1">
                                <a:defRPr sz="1800"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4pPr>
                              <a:lvl5pPr marL="1828800" algn="l" defTabSz="914400" rtl="0" eaLnBrk="1" latinLnBrk="0" hangingPunct="1">
                                <a:defRPr sz="1800"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5pPr>
                              <a:lvl6pPr marL="2286000" algn="l" defTabSz="914400" rtl="0" eaLnBrk="1" latinLnBrk="0" hangingPunct="1">
                                <a:defRPr sz="1800"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6pPr>
                              <a:lvl7pPr marL="2743200" algn="l" defTabSz="914400" rtl="0" eaLnBrk="1" latinLnBrk="0" hangingPunct="1">
                                <a:defRPr sz="1800"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7pPr>
                              <a:lvl8pPr marL="3200400" algn="l" defTabSz="914400" rtl="0" eaLnBrk="1" latinLnBrk="0" hangingPunct="1">
                                <a:defRPr sz="1800"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8pPr>
                              <a:lvl9pPr marL="3657600" algn="l" defTabSz="914400" rtl="0" eaLnBrk="1" latinLnBrk="0" hangingPunct="1">
                                <a:defRPr sz="1800"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9pPr>
                            </a:lstStyle>
                            <a:p>
                              <a:pPr algn="ctr"/>
                              <a:r>
                                <a:rPr lang="zh-CN" altLang="en-US" sz="2000" dirty="0" smtClean="0">
                                  <a:solidFill>
                                    <a:srgbClr val="0033CC"/>
                                  </a:solidFill>
                                  <a:latin typeface="黑体" panose="02010609060101010101" charset="-122"/>
                                  <a:ea typeface="黑体" panose="02010609060101010101" charset="-122"/>
                                </a:rPr>
                                <a:t>交流总结</a:t>
                              </a:r>
                              <a:endParaRPr lang="zh-CN" altLang="en-US" sz="2000" dirty="0">
                                <a:solidFill>
                                  <a:srgbClr val="0033CC"/>
                                </a:solidFill>
                                <a:latin typeface="黑体" panose="02010609060101010101" charset="-122"/>
                                <a:ea typeface="黑体" panose="02010609060101010101" charset="-122"/>
                              </a:endParaRPr>
                            </a:p>
                          </a:txBody>
                          <a:useSpRect/>
                        </a:txSp>
                        <a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a:style>
                      </a:sp>
                      <a:cxnSp>
                        <a:nvCxnSpPr>
                          <a:cNvPr id="26" name="直接连接符 25"/>
                          <a:cNvCxnSpPr/>
                        </a:nvCxnSpPr>
                        <a:spPr>
                          <a:xfrm rot="5400000">
                            <a:off x="5647845" y="3272159"/>
                            <a:ext cx="2439722" cy="17100"/>
                          </a:xfrm>
                          <a:prstGeom prst="line">
                            <a:avLst/>
                          </a:prstGeom>
                          <a:ln w="38100">
                            <a:solidFill>
                              <a:srgbClr val="0033CC"/>
                            </a:solidFill>
                          </a:ln>
                        </a:spPr>
                        <a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a:style>
                      </a:cxnSp>
                      <a:cxnSp>
                        <a:nvCxnSpPr>
                          <a:cNvPr id="27" name="直接连接符 26"/>
                          <a:cNvCxnSpPr/>
                        </a:nvCxnSpPr>
                        <a:spPr>
                          <a:xfrm>
                            <a:off x="6876256" y="2708920"/>
                            <a:ext cx="216024" cy="0"/>
                          </a:xfrm>
                          <a:prstGeom prst="line">
                            <a:avLst/>
                          </a:prstGeom>
                          <a:ln w="38100">
                            <a:solidFill>
                              <a:srgbClr val="0033CC"/>
                            </a:solidFill>
                          </a:ln>
                        </a:spPr>
                        <a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a:style>
                      </a:cxnSp>
                      <a:cxnSp>
                        <a:nvCxnSpPr>
                          <a:cNvPr id="28" name="直接连接符 27"/>
                          <a:cNvCxnSpPr/>
                        </a:nvCxnSpPr>
                        <a:spPr>
                          <a:xfrm>
                            <a:off x="6876256" y="4500570"/>
                            <a:ext cx="216024" cy="0"/>
                          </a:xfrm>
                          <a:prstGeom prst="line">
                            <a:avLst/>
                          </a:prstGeom>
                          <a:ln w="38100">
                            <a:solidFill>
                              <a:srgbClr val="0033CC"/>
                            </a:solidFill>
                          </a:ln>
                        </a:spPr>
                        <a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a:style>
                      </a:cxnSp>
                      <a:cxnSp>
                        <a:nvCxnSpPr>
                          <a:cNvPr id="30" name="直接连接符 29"/>
                          <a:cNvCxnSpPr/>
                        </a:nvCxnSpPr>
                        <a:spPr>
                          <a:xfrm>
                            <a:off x="6876256" y="3571876"/>
                            <a:ext cx="216024" cy="0"/>
                          </a:xfrm>
                          <a:prstGeom prst="line">
                            <a:avLst/>
                          </a:prstGeom>
                          <a:ln w="38100">
                            <a:solidFill>
                              <a:srgbClr val="0033CC"/>
                            </a:solidFill>
                          </a:ln>
                        </a:spPr>
                        <a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a:style>
                      </a:cxnSp>
                    </a:grpSp>
                    <a:grpSp>
                      <a:nvGrpSpPr>
                        <a:cNvPr id="7" name="组合 30"/>
                        <a:cNvGrpSpPr/>
                      </a:nvGrpSpPr>
                      <a:grpSpPr>
                        <a:xfrm>
                          <a:off x="3707904" y="2060848"/>
                          <a:ext cx="2160242" cy="1802480"/>
                          <a:chOff x="3707904" y="2060848"/>
                          <a:chExt cx="2160242" cy="1802480"/>
                        </a:xfrm>
                      </a:grpSpPr>
                      <a:sp>
                        <a:nvSpPr>
                          <a:cNvPr id="32" name="圆角矩形 31"/>
                          <a:cNvSpPr/>
                        </a:nvSpPr>
                        <a:spPr>
                          <a:xfrm>
                            <a:off x="3923930" y="2348880"/>
                            <a:ext cx="1944216" cy="648642"/>
                          </a:xfrm>
                          <a:prstGeom prst="roundRect">
                            <a:avLst/>
                          </a:prstGeom>
                          <a:noFill/>
                          <a:ln w="19050">
                            <a:solidFill>
                              <a:srgbClr val="0033CC"/>
                            </a:solidFill>
                          </a:ln>
                        </a:spPr>
                        <a:txSp>
                          <a:txBody>
                            <a:bodyPr rtlCol="0" anchor="ctr"/>
                            <a:lstStyle>
                              <a:defPPr>
                                <a:defRPr lang="zh-CN"/>
                              </a:defPPr>
                              <a:lvl1pPr marL="0" algn="l" defTabSz="914400" rtl="0" eaLnBrk="1" latinLnBrk="0" hangingPunct="1">
                                <a:defRPr sz="1800"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1pPr>
                              <a:lvl2pPr marL="457200" algn="l" defTabSz="914400" rtl="0" eaLnBrk="1" latinLnBrk="0" hangingPunct="1">
                                <a:defRPr sz="1800"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2pPr>
                              <a:lvl3pPr marL="914400" algn="l" defTabSz="914400" rtl="0" eaLnBrk="1" latinLnBrk="0" hangingPunct="1">
                                <a:defRPr sz="1800"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3pPr>
                              <a:lvl4pPr marL="1371600" algn="l" defTabSz="914400" rtl="0" eaLnBrk="1" latinLnBrk="0" hangingPunct="1">
                                <a:defRPr sz="1800"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4pPr>
                              <a:lvl5pPr marL="1828800" algn="l" defTabSz="914400" rtl="0" eaLnBrk="1" latinLnBrk="0" hangingPunct="1">
                                <a:defRPr sz="1800"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5pPr>
                              <a:lvl6pPr marL="2286000" algn="l" defTabSz="914400" rtl="0" eaLnBrk="1" latinLnBrk="0" hangingPunct="1">
                                <a:defRPr sz="1800"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6pPr>
                              <a:lvl7pPr marL="2743200" algn="l" defTabSz="914400" rtl="0" eaLnBrk="1" latinLnBrk="0" hangingPunct="1">
                                <a:defRPr sz="1800"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7pPr>
                              <a:lvl8pPr marL="3200400" algn="l" defTabSz="914400" rtl="0" eaLnBrk="1" latinLnBrk="0" hangingPunct="1">
                                <a:defRPr sz="1800"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8pPr>
                              <a:lvl9pPr marL="3657600" algn="l" defTabSz="914400" rtl="0" eaLnBrk="1" latinLnBrk="0" hangingPunct="1">
                                <a:defRPr sz="1800"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9pPr>
                            </a:lstStyle>
                            <a:p>
                              <a:pPr algn="ctr"/>
                              <a:r>
                                <a:rPr lang="zh-CN" altLang="en-US" sz="2000" dirty="0" smtClean="0">
                                  <a:solidFill>
                                    <a:srgbClr val="0033CC"/>
                                  </a:solidFill>
                                  <a:latin typeface="黑体" panose="02010609060101010101" charset="-122"/>
                                  <a:ea typeface="黑体" panose="02010609060101010101" charset="-122"/>
                                </a:rPr>
                                <a:t>设计开发</a:t>
                              </a:r>
                              <a:endParaRPr lang="en-US" altLang="zh-CN" sz="2000" dirty="0" smtClean="0">
                                <a:solidFill>
                                  <a:srgbClr val="0033CC"/>
                                </a:solidFill>
                                <a:latin typeface="黑体" panose="02010609060101010101" charset="-122"/>
                                <a:ea typeface="黑体" panose="02010609060101010101" charset="-122"/>
                              </a:endParaRPr>
                            </a:p>
                            <a:p>
                              <a:pPr algn="ctr"/>
                              <a:r>
                                <a:rPr lang="zh-CN" altLang="en-US" sz="2000" dirty="0" smtClean="0">
                                  <a:solidFill>
                                    <a:srgbClr val="0033CC"/>
                                  </a:solidFill>
                                  <a:latin typeface="黑体" panose="02010609060101010101" charset="-122"/>
                                  <a:ea typeface="黑体" panose="02010609060101010101" charset="-122"/>
                                </a:rPr>
                                <a:t>每人一门课程</a:t>
                              </a:r>
                              <a:endParaRPr lang="zh-CN" altLang="en-US" sz="2000" dirty="0">
                                <a:solidFill>
                                  <a:srgbClr val="0033CC"/>
                                </a:solidFill>
                                <a:latin typeface="黑体" panose="02010609060101010101" charset="-122"/>
                                <a:ea typeface="黑体" panose="02010609060101010101" charset="-122"/>
                              </a:endParaRPr>
                            </a:p>
                          </a:txBody>
                          <a:useSpRect/>
                        </a:txSp>
                        <a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a:style>
                      </a:sp>
                      <a:cxnSp>
                        <a:nvCxnSpPr>
                          <a:cNvPr id="34" name="直接连接符 33"/>
                          <a:cNvCxnSpPr/>
                        </a:nvCxnSpPr>
                        <a:spPr>
                          <a:xfrm rot="16200000" flipH="1">
                            <a:off x="2955810" y="2812942"/>
                            <a:ext cx="1511028" cy="6840"/>
                          </a:xfrm>
                          <a:prstGeom prst="line">
                            <a:avLst/>
                          </a:prstGeom>
                          <a:ln w="38100">
                            <a:solidFill>
                              <a:srgbClr val="0033CC"/>
                            </a:solidFill>
                          </a:ln>
                        </a:spPr>
                        <a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a:style>
                      </a:cxnSp>
                      <a:cxnSp>
                        <a:nvCxnSpPr>
                          <a:cNvPr id="35" name="直接连接符 34"/>
                          <a:cNvCxnSpPr/>
                        </a:nvCxnSpPr>
                        <a:spPr>
                          <a:xfrm>
                            <a:off x="3707906" y="2708920"/>
                            <a:ext cx="216024" cy="0"/>
                          </a:xfrm>
                          <a:prstGeom prst="line">
                            <a:avLst/>
                          </a:prstGeom>
                          <a:ln w="38100">
                            <a:solidFill>
                              <a:srgbClr val="0033CC"/>
                            </a:solidFill>
                          </a:ln>
                        </a:spPr>
                        <a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a:style>
                      </a:cxnSp>
                      <a:sp>
                        <a:nvSpPr>
                          <a:cNvPr id="37" name="圆角矩形 36"/>
                          <a:cNvSpPr/>
                        </a:nvSpPr>
                        <a:spPr>
                          <a:xfrm>
                            <a:off x="3923928" y="3214686"/>
                            <a:ext cx="1944216" cy="648642"/>
                          </a:xfrm>
                          <a:prstGeom prst="roundRect">
                            <a:avLst/>
                          </a:prstGeom>
                          <a:noFill/>
                          <a:ln w="19050">
                            <a:solidFill>
                              <a:srgbClr val="0033CC"/>
                            </a:solidFill>
                          </a:ln>
                        </a:spPr>
                        <a:txSp>
                          <a:txBody>
                            <a:bodyPr rtlCol="0" anchor="ctr"/>
                            <a:lstStyle>
                              <a:defPPr>
                                <a:defRPr lang="zh-CN"/>
                              </a:defPPr>
                              <a:lvl1pPr marL="0" algn="l" defTabSz="914400" rtl="0" eaLnBrk="1" latinLnBrk="0" hangingPunct="1">
                                <a:defRPr sz="1800"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1pPr>
                              <a:lvl2pPr marL="457200" algn="l" defTabSz="914400" rtl="0" eaLnBrk="1" latinLnBrk="0" hangingPunct="1">
                                <a:defRPr sz="1800"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2pPr>
                              <a:lvl3pPr marL="914400" algn="l" defTabSz="914400" rtl="0" eaLnBrk="1" latinLnBrk="0" hangingPunct="1">
                                <a:defRPr sz="1800"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3pPr>
                              <a:lvl4pPr marL="1371600" algn="l" defTabSz="914400" rtl="0" eaLnBrk="1" latinLnBrk="0" hangingPunct="1">
                                <a:defRPr sz="1800"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4pPr>
                              <a:lvl5pPr marL="1828800" algn="l" defTabSz="914400" rtl="0" eaLnBrk="1" latinLnBrk="0" hangingPunct="1">
                                <a:defRPr sz="1800"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5pPr>
                              <a:lvl6pPr marL="2286000" algn="l" defTabSz="914400" rtl="0" eaLnBrk="1" latinLnBrk="0" hangingPunct="1">
                                <a:defRPr sz="1800"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6pPr>
                              <a:lvl7pPr marL="2743200" algn="l" defTabSz="914400" rtl="0" eaLnBrk="1" latinLnBrk="0" hangingPunct="1">
                                <a:defRPr sz="1800"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7pPr>
                              <a:lvl8pPr marL="3200400" algn="l" defTabSz="914400" rtl="0" eaLnBrk="1" latinLnBrk="0" hangingPunct="1">
                                <a:defRPr sz="1800"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8pPr>
                              <a:lvl9pPr marL="3657600" algn="l" defTabSz="914400" rtl="0" eaLnBrk="1" latinLnBrk="0" hangingPunct="1">
                                <a:defRPr sz="1800"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9pPr>
                            </a:lstStyle>
                            <a:p>
                              <a:pPr algn="ctr"/>
                              <a:r>
                                <a:rPr lang="zh-CN" altLang="en-US" sz="2000" dirty="0" smtClean="0">
                                  <a:solidFill>
                                    <a:srgbClr val="0033CC"/>
                                  </a:solidFill>
                                  <a:latin typeface="黑体" panose="02010609060101010101" charset="-122"/>
                                  <a:ea typeface="黑体" panose="02010609060101010101" charset="-122"/>
                                </a:rPr>
                                <a:t>讲师全程辅导</a:t>
                              </a:r>
                              <a:endParaRPr lang="zh-CN" altLang="en-US" sz="2000" dirty="0">
                                <a:solidFill>
                                  <a:srgbClr val="0033CC"/>
                                </a:solidFill>
                                <a:latin typeface="黑体" panose="02010609060101010101" charset="-122"/>
                                <a:ea typeface="黑体" panose="02010609060101010101" charset="-122"/>
                              </a:endParaRPr>
                            </a:p>
                          </a:txBody>
                          <a:useSpRect/>
                        </a:txSp>
                        <a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a:style>
                      </a:sp>
                      <a:cxnSp>
                        <a:nvCxnSpPr>
                          <a:cNvPr id="38" name="直接连接符 37"/>
                          <a:cNvCxnSpPr/>
                        </a:nvCxnSpPr>
                        <a:spPr>
                          <a:xfrm>
                            <a:off x="3707904" y="3571876"/>
                            <a:ext cx="216024" cy="0"/>
                          </a:xfrm>
                          <a:prstGeom prst="line">
                            <a:avLst/>
                          </a:prstGeom>
                          <a:ln w="38100">
                            <a:solidFill>
                              <a:srgbClr val="0033CC"/>
                            </a:solidFill>
                          </a:ln>
                        </a:spPr>
                        <a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a:style>
                      </a:cxnSp>
                    </a:grpSp>
                  </a:grpSp>
                </lc:lockedCanvas>
              </a:graphicData>
            </a:graphic>
          </wp:inline>
        </w:drawing>
      </w:r>
    </w:p>
    <w:p>
      <w:pPr>
        <w:numPr>
          <w:ilvl w:val="0"/>
          <w:numId w:val="1"/>
        </w:numPr>
        <w:spacing w:line="276" w:lineRule="auto"/>
        <w:jc w:val="left"/>
        <w:rPr>
          <w:rFonts w:ascii="微软雅黑" w:hAnsi="微软雅黑" w:eastAsia="微软雅黑"/>
          <w:b/>
          <w:color w:val="FF0000"/>
          <w:sz w:val="24"/>
          <w:szCs w:val="24"/>
        </w:rPr>
      </w:pPr>
      <w:r>
        <w:rPr>
          <w:rFonts w:hint="eastAsia" w:ascii="微软雅黑" w:hAnsi="微软雅黑" w:eastAsia="微软雅黑"/>
          <w:b/>
          <w:color w:val="FF0000"/>
          <w:sz w:val="24"/>
          <w:szCs w:val="24"/>
        </w:rPr>
        <w:t>课程大纲</w:t>
      </w:r>
    </w:p>
    <w:p>
      <w:pPr>
        <w:spacing w:line="276" w:lineRule="auto"/>
        <w:jc w:val="left"/>
        <w:rPr>
          <w:rFonts w:hint="eastAsia"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导</w:t>
      </w:r>
      <w:r>
        <w:rPr>
          <w:rFonts w:ascii="微软雅黑" w:hAnsi="微软雅黑" w:eastAsia="微软雅黑"/>
          <w:sz w:val="24"/>
          <w:szCs w:val="24"/>
        </w:rPr>
        <w:t>言：</w:t>
      </w:r>
      <w:r>
        <w:rPr>
          <w:rFonts w:hint="eastAsia" w:ascii="微软雅黑" w:hAnsi="微软雅黑" w:eastAsia="微软雅黑"/>
          <w:sz w:val="24"/>
          <w:szCs w:val="24"/>
        </w:rPr>
        <w:t>培训</w:t>
      </w:r>
      <w:r>
        <w:rPr>
          <w:rFonts w:ascii="微软雅黑" w:hAnsi="微软雅黑" w:eastAsia="微软雅黑"/>
          <w:sz w:val="24"/>
          <w:szCs w:val="24"/>
        </w:rPr>
        <w:t>的目的、讲师的价</w:t>
      </w:r>
      <w:r>
        <w:rPr>
          <w:rFonts w:hint="eastAsia" w:ascii="微软雅黑" w:hAnsi="微软雅黑" w:eastAsia="微软雅黑"/>
          <w:sz w:val="24"/>
          <w:szCs w:val="24"/>
        </w:rPr>
        <w:t>值</w:t>
      </w:r>
      <w:r>
        <w:rPr>
          <w:rFonts w:ascii="微软雅黑" w:hAnsi="微软雅黑" w:eastAsia="微软雅黑"/>
          <w:sz w:val="24"/>
          <w:szCs w:val="24"/>
        </w:rPr>
        <w:t>、学习的规律。</w:t>
      </w:r>
    </w:p>
    <w:p>
      <w:pPr>
        <w:numPr>
          <w:ilvl w:val="0"/>
          <w:numId w:val="2"/>
        </w:numPr>
        <w:spacing w:line="276" w:lineRule="auto"/>
        <w:jc w:val="left"/>
        <w:rPr>
          <w:rFonts w:hint="eastAsia" w:ascii="微软雅黑" w:hAnsi="微软雅黑" w:eastAsia="微软雅黑"/>
          <w:b/>
          <w:sz w:val="24"/>
          <w:szCs w:val="24"/>
        </w:rPr>
      </w:pPr>
      <w:r>
        <w:rPr>
          <w:rFonts w:hint="eastAsia" w:ascii="微软雅黑" w:hAnsi="微软雅黑" w:eastAsia="微软雅黑"/>
          <w:b/>
          <w:sz w:val="24"/>
          <w:szCs w:val="24"/>
        </w:rPr>
        <w:t>高屋建瓴---教学指导理论</w:t>
      </w:r>
    </w:p>
    <w:p>
      <w:pPr>
        <w:spacing w:line="276" w:lineRule="auto"/>
        <w:rPr>
          <w:rFonts w:hint="eastAsia"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 xml:space="preserve">1、培训的三个原理 </w:t>
      </w:r>
    </w:p>
    <w:p>
      <w:pPr>
        <w:numPr>
          <w:ilvl w:val="0"/>
          <w:numId w:val="3"/>
        </w:numPr>
        <w:spacing w:line="276" w:lineRule="auto"/>
        <w:ind w:left="601" w:hanging="284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接近原理</w:t>
      </w:r>
    </w:p>
    <w:p>
      <w:pPr>
        <w:spacing w:line="276" w:lineRule="auto"/>
        <w:ind w:left="601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讨</w:t>
      </w:r>
      <w:r>
        <w:rPr>
          <w:rFonts w:ascii="微软雅黑" w:hAnsi="微软雅黑" w:eastAsia="微软雅黑"/>
          <w:sz w:val="24"/>
          <w:szCs w:val="24"/>
        </w:rPr>
        <w:t>论</w:t>
      </w:r>
      <w:r>
        <w:rPr>
          <w:rFonts w:hint="eastAsia" w:ascii="微软雅黑" w:hAnsi="微软雅黑" w:eastAsia="微软雅黑"/>
          <w:sz w:val="24"/>
          <w:szCs w:val="24"/>
        </w:rPr>
        <w:t>思</w:t>
      </w:r>
      <w:r>
        <w:rPr>
          <w:rFonts w:ascii="微软雅黑" w:hAnsi="微软雅黑" w:eastAsia="微软雅黑"/>
          <w:sz w:val="24"/>
          <w:szCs w:val="24"/>
        </w:rPr>
        <w:t>考：</w:t>
      </w:r>
    </w:p>
    <w:p>
      <w:pPr>
        <w:spacing w:line="276" w:lineRule="auto"/>
        <w:ind w:left="601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1）在</w:t>
      </w:r>
      <w:r>
        <w:rPr>
          <w:rFonts w:ascii="微软雅黑" w:hAnsi="微软雅黑" w:eastAsia="微软雅黑"/>
          <w:sz w:val="24"/>
          <w:szCs w:val="24"/>
        </w:rPr>
        <w:t>企业文化培训课中如何运用接近原理。</w:t>
      </w:r>
    </w:p>
    <w:p>
      <w:pPr>
        <w:spacing w:line="276" w:lineRule="auto"/>
        <w:ind w:left="601"/>
        <w:rPr>
          <w:rFonts w:ascii="微软雅黑" w:hAnsi="微软雅黑" w:eastAsia="微软雅黑"/>
          <w:sz w:val="24"/>
          <w:szCs w:val="24"/>
        </w:rPr>
      </w:pPr>
      <w:r>
        <w:rPr>
          <w:rFonts w:ascii="微软雅黑" w:hAnsi="微软雅黑" w:eastAsia="微软雅黑"/>
          <w:sz w:val="24"/>
          <w:szCs w:val="24"/>
        </w:rPr>
        <w:t>2</w:t>
      </w:r>
      <w:r>
        <w:rPr>
          <w:rFonts w:hint="eastAsia" w:ascii="微软雅黑" w:hAnsi="微软雅黑" w:eastAsia="微软雅黑"/>
          <w:sz w:val="24"/>
          <w:szCs w:val="24"/>
        </w:rPr>
        <w:t>）给</w:t>
      </w:r>
      <w:r>
        <w:rPr>
          <w:rFonts w:ascii="微软雅黑" w:hAnsi="微软雅黑" w:eastAsia="微软雅黑"/>
          <w:sz w:val="24"/>
          <w:szCs w:val="24"/>
        </w:rPr>
        <w:t>员工培训设备操作技能中如何运用接近原理。</w:t>
      </w:r>
    </w:p>
    <w:p>
      <w:pPr>
        <w:numPr>
          <w:ilvl w:val="0"/>
          <w:numId w:val="3"/>
        </w:numPr>
        <w:spacing w:line="276" w:lineRule="auto"/>
        <w:ind w:left="601" w:hanging="284"/>
        <w:rPr>
          <w:rFonts w:ascii="微软雅黑" w:hAnsi="微软雅黑" w:eastAsia="微软雅黑"/>
          <w:b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重复原理</w:t>
      </w:r>
    </w:p>
    <w:p>
      <w:pPr>
        <w:spacing w:line="276" w:lineRule="auto"/>
        <w:ind w:left="601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练</w:t>
      </w:r>
      <w:r>
        <w:rPr>
          <w:rFonts w:ascii="微软雅黑" w:hAnsi="微软雅黑" w:eastAsia="微软雅黑"/>
          <w:sz w:val="24"/>
          <w:szCs w:val="24"/>
        </w:rPr>
        <w:t>习：哪些培训活动是</w:t>
      </w:r>
      <w:r>
        <w:rPr>
          <w:rFonts w:hint="eastAsia" w:ascii="微软雅黑" w:hAnsi="微软雅黑" w:eastAsia="微软雅黑"/>
          <w:sz w:val="24"/>
          <w:szCs w:val="24"/>
        </w:rPr>
        <w:t>否符</w:t>
      </w:r>
      <w:r>
        <w:rPr>
          <w:rFonts w:ascii="微软雅黑" w:hAnsi="微软雅黑" w:eastAsia="微软雅黑"/>
          <w:sz w:val="24"/>
          <w:szCs w:val="24"/>
        </w:rPr>
        <w:t>合重复原理？</w:t>
      </w:r>
    </w:p>
    <w:p>
      <w:pPr>
        <w:spacing w:line="276" w:lineRule="auto"/>
        <w:ind w:firstLine="600" w:firstLineChars="250"/>
        <w:rPr>
          <w:rFonts w:hint="eastAsia"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讨</w:t>
      </w:r>
      <w:r>
        <w:rPr>
          <w:rFonts w:ascii="微软雅黑" w:hAnsi="微软雅黑" w:eastAsia="微软雅黑"/>
          <w:sz w:val="24"/>
          <w:szCs w:val="24"/>
        </w:rPr>
        <w:t>论</w:t>
      </w:r>
      <w:r>
        <w:rPr>
          <w:rFonts w:hint="eastAsia" w:ascii="微软雅黑" w:hAnsi="微软雅黑" w:eastAsia="微软雅黑"/>
          <w:sz w:val="24"/>
          <w:szCs w:val="24"/>
        </w:rPr>
        <w:t>思</w:t>
      </w:r>
      <w:r>
        <w:rPr>
          <w:rFonts w:ascii="微软雅黑" w:hAnsi="微软雅黑" w:eastAsia="微软雅黑"/>
          <w:sz w:val="24"/>
          <w:szCs w:val="24"/>
        </w:rPr>
        <w:t>考：</w:t>
      </w:r>
      <w:r>
        <w:rPr>
          <w:rFonts w:hint="eastAsia" w:ascii="微软雅黑" w:hAnsi="微软雅黑" w:eastAsia="微软雅黑"/>
          <w:sz w:val="24"/>
          <w:szCs w:val="24"/>
        </w:rPr>
        <w:t>在</w:t>
      </w:r>
      <w:r>
        <w:rPr>
          <w:rFonts w:ascii="微软雅黑" w:hAnsi="微软雅黑" w:eastAsia="微软雅黑"/>
          <w:sz w:val="24"/>
          <w:szCs w:val="24"/>
        </w:rPr>
        <w:t>你将要设计开发的课程中，如何运</w:t>
      </w:r>
      <w:r>
        <w:rPr>
          <w:rFonts w:hint="eastAsia" w:ascii="微软雅黑" w:hAnsi="微软雅黑" w:eastAsia="微软雅黑"/>
          <w:sz w:val="24"/>
          <w:szCs w:val="24"/>
        </w:rPr>
        <w:t>用</w:t>
      </w:r>
      <w:r>
        <w:rPr>
          <w:rFonts w:ascii="微软雅黑" w:hAnsi="微软雅黑" w:eastAsia="微软雅黑"/>
          <w:sz w:val="24"/>
          <w:szCs w:val="24"/>
        </w:rPr>
        <w:t>“</w:t>
      </w:r>
      <w:r>
        <w:rPr>
          <w:rFonts w:hint="eastAsia" w:ascii="微软雅黑" w:hAnsi="微软雅黑" w:eastAsia="微软雅黑"/>
          <w:sz w:val="24"/>
          <w:szCs w:val="24"/>
        </w:rPr>
        <w:t>重</w:t>
      </w:r>
      <w:r>
        <w:rPr>
          <w:rFonts w:ascii="微软雅黑" w:hAnsi="微软雅黑" w:eastAsia="微软雅黑"/>
          <w:sz w:val="24"/>
          <w:szCs w:val="24"/>
        </w:rPr>
        <w:t>复原理”</w:t>
      </w:r>
      <w:r>
        <w:rPr>
          <w:rFonts w:hint="eastAsia" w:ascii="微软雅黑" w:hAnsi="微软雅黑" w:eastAsia="微软雅黑"/>
          <w:sz w:val="24"/>
          <w:szCs w:val="24"/>
        </w:rPr>
        <w:t>？</w:t>
      </w:r>
    </w:p>
    <w:p>
      <w:pPr>
        <w:numPr>
          <w:ilvl w:val="0"/>
          <w:numId w:val="3"/>
        </w:numPr>
        <w:spacing w:line="276" w:lineRule="auto"/>
        <w:ind w:left="601" w:hanging="284"/>
        <w:rPr>
          <w:rFonts w:ascii="微软雅黑" w:hAnsi="微软雅黑" w:eastAsia="微软雅黑"/>
          <w:b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 xml:space="preserve">强化原理   </w:t>
      </w:r>
    </w:p>
    <w:p>
      <w:pPr>
        <w:spacing w:line="276" w:lineRule="auto"/>
        <w:ind w:left="601"/>
        <w:rPr>
          <w:rFonts w:hint="eastAsia" w:ascii="微软雅黑" w:hAnsi="微软雅黑" w:eastAsia="微软雅黑"/>
          <w:b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讨</w:t>
      </w:r>
      <w:r>
        <w:rPr>
          <w:rFonts w:ascii="微软雅黑" w:hAnsi="微软雅黑" w:eastAsia="微软雅黑"/>
          <w:sz w:val="24"/>
          <w:szCs w:val="24"/>
        </w:rPr>
        <w:t>论</w:t>
      </w:r>
      <w:r>
        <w:rPr>
          <w:rFonts w:hint="eastAsia" w:ascii="微软雅黑" w:hAnsi="微软雅黑" w:eastAsia="微软雅黑"/>
          <w:sz w:val="24"/>
          <w:szCs w:val="24"/>
        </w:rPr>
        <w:t>思</w:t>
      </w:r>
      <w:r>
        <w:rPr>
          <w:rFonts w:ascii="微软雅黑" w:hAnsi="微软雅黑" w:eastAsia="微软雅黑"/>
          <w:sz w:val="24"/>
          <w:szCs w:val="24"/>
        </w:rPr>
        <w:t>考：</w:t>
      </w:r>
      <w:r>
        <w:rPr>
          <w:rFonts w:hint="eastAsia" w:ascii="微软雅黑" w:hAnsi="微软雅黑" w:eastAsia="微软雅黑"/>
          <w:sz w:val="24"/>
          <w:szCs w:val="24"/>
        </w:rPr>
        <w:t>在</w:t>
      </w:r>
      <w:r>
        <w:rPr>
          <w:rFonts w:ascii="微软雅黑" w:hAnsi="微软雅黑" w:eastAsia="微软雅黑"/>
          <w:sz w:val="24"/>
          <w:szCs w:val="24"/>
        </w:rPr>
        <w:t>你将要设计开发的课程中，如何运</w:t>
      </w:r>
      <w:r>
        <w:rPr>
          <w:rFonts w:hint="eastAsia" w:ascii="微软雅黑" w:hAnsi="微软雅黑" w:eastAsia="微软雅黑"/>
          <w:sz w:val="24"/>
          <w:szCs w:val="24"/>
        </w:rPr>
        <w:t>用</w:t>
      </w:r>
      <w:r>
        <w:rPr>
          <w:rFonts w:ascii="微软雅黑" w:hAnsi="微软雅黑" w:eastAsia="微软雅黑"/>
          <w:sz w:val="24"/>
          <w:szCs w:val="24"/>
        </w:rPr>
        <w:t>“</w:t>
      </w:r>
      <w:r>
        <w:rPr>
          <w:rFonts w:hint="eastAsia" w:ascii="微软雅黑" w:hAnsi="微软雅黑" w:eastAsia="微软雅黑"/>
          <w:sz w:val="24"/>
          <w:szCs w:val="24"/>
        </w:rPr>
        <w:t>强</w:t>
      </w:r>
      <w:r>
        <w:rPr>
          <w:rFonts w:ascii="微软雅黑" w:hAnsi="微软雅黑" w:eastAsia="微软雅黑"/>
          <w:sz w:val="24"/>
          <w:szCs w:val="24"/>
        </w:rPr>
        <w:t>化原理”</w:t>
      </w:r>
      <w:r>
        <w:rPr>
          <w:rFonts w:hint="eastAsia" w:ascii="微软雅黑" w:hAnsi="微软雅黑" w:eastAsia="微软雅黑"/>
          <w:sz w:val="24"/>
          <w:szCs w:val="24"/>
        </w:rPr>
        <w:t>？</w:t>
      </w:r>
    </w:p>
    <w:p>
      <w:pPr>
        <w:spacing w:line="276" w:lineRule="auto"/>
        <w:rPr>
          <w:rFonts w:hint="eastAsia"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2、成人学习的特点</w:t>
      </w:r>
    </w:p>
    <w:p>
      <w:pPr>
        <w:numPr>
          <w:ilvl w:val="0"/>
          <w:numId w:val="4"/>
        </w:numPr>
        <w:spacing w:line="276" w:lineRule="auto"/>
        <w:ind w:left="601" w:hanging="284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目的性强</w:t>
      </w:r>
    </w:p>
    <w:p>
      <w:pPr>
        <w:spacing w:line="276" w:lineRule="auto"/>
        <w:ind w:left="601"/>
        <w:rPr>
          <w:rFonts w:hint="eastAsia"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讨</w:t>
      </w:r>
      <w:r>
        <w:rPr>
          <w:rFonts w:ascii="微软雅黑" w:hAnsi="微软雅黑" w:eastAsia="微软雅黑"/>
          <w:sz w:val="24"/>
          <w:szCs w:val="24"/>
        </w:rPr>
        <w:t>论：预防措施</w:t>
      </w:r>
    </w:p>
    <w:p>
      <w:pPr>
        <w:numPr>
          <w:ilvl w:val="0"/>
          <w:numId w:val="4"/>
        </w:numPr>
        <w:spacing w:line="276" w:lineRule="auto"/>
        <w:ind w:left="601" w:hanging="284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注意力易分散</w:t>
      </w:r>
    </w:p>
    <w:p>
      <w:pPr>
        <w:spacing w:line="276" w:lineRule="auto"/>
        <w:ind w:left="735"/>
        <w:rPr>
          <w:rFonts w:hint="eastAsia"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讨</w:t>
      </w:r>
      <w:r>
        <w:rPr>
          <w:rFonts w:ascii="微软雅黑" w:hAnsi="微软雅黑" w:eastAsia="微软雅黑"/>
          <w:sz w:val="24"/>
          <w:szCs w:val="24"/>
        </w:rPr>
        <w:t>论：预防措施</w:t>
      </w:r>
    </w:p>
    <w:p>
      <w:pPr>
        <w:numPr>
          <w:ilvl w:val="0"/>
          <w:numId w:val="4"/>
        </w:numPr>
        <w:spacing w:line="276" w:lineRule="auto"/>
        <w:ind w:left="601" w:hanging="286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容易遗忘</w:t>
      </w:r>
    </w:p>
    <w:p>
      <w:pPr>
        <w:spacing w:line="276" w:lineRule="auto"/>
        <w:ind w:left="735"/>
        <w:rPr>
          <w:rFonts w:hint="eastAsia"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讨</w:t>
      </w:r>
      <w:r>
        <w:rPr>
          <w:rFonts w:ascii="微软雅黑" w:hAnsi="微软雅黑" w:eastAsia="微软雅黑"/>
          <w:sz w:val="24"/>
          <w:szCs w:val="24"/>
        </w:rPr>
        <w:t>论：预防措施</w:t>
      </w:r>
    </w:p>
    <w:p>
      <w:pPr>
        <w:numPr>
          <w:ilvl w:val="0"/>
          <w:numId w:val="4"/>
        </w:numPr>
        <w:spacing w:line="276" w:lineRule="auto"/>
        <w:ind w:left="601" w:hanging="286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自我意识强</w:t>
      </w:r>
    </w:p>
    <w:p>
      <w:pPr>
        <w:spacing w:line="276" w:lineRule="auto"/>
        <w:ind w:left="735"/>
        <w:rPr>
          <w:rFonts w:hint="eastAsia"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讨</w:t>
      </w:r>
      <w:r>
        <w:rPr>
          <w:rFonts w:ascii="微软雅黑" w:hAnsi="微软雅黑" w:eastAsia="微软雅黑"/>
          <w:sz w:val="24"/>
          <w:szCs w:val="24"/>
        </w:rPr>
        <w:t>论：预防措施</w:t>
      </w:r>
    </w:p>
    <w:p>
      <w:pPr>
        <w:numPr>
          <w:ilvl w:val="0"/>
          <w:numId w:val="2"/>
        </w:numPr>
        <w:spacing w:line="276" w:lineRule="auto"/>
        <w:jc w:val="left"/>
        <w:rPr>
          <w:rFonts w:ascii="微软雅黑" w:hAnsi="微软雅黑" w:eastAsia="微软雅黑"/>
          <w:b/>
          <w:sz w:val="24"/>
          <w:szCs w:val="24"/>
        </w:rPr>
      </w:pPr>
      <w:r>
        <w:rPr>
          <w:rFonts w:hint="eastAsia" w:ascii="微软雅黑" w:hAnsi="微软雅黑" w:eastAsia="微软雅黑"/>
          <w:b/>
          <w:sz w:val="24"/>
          <w:szCs w:val="24"/>
        </w:rPr>
        <w:t>构建课程框架----课程设计</w:t>
      </w:r>
    </w:p>
    <w:p>
      <w:pPr>
        <w:spacing w:line="276" w:lineRule="auto"/>
        <w:jc w:val="left"/>
        <w:rPr>
          <w:rFonts w:hint="eastAsia"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1、课</w:t>
      </w:r>
      <w:r>
        <w:rPr>
          <w:rFonts w:ascii="微软雅黑" w:hAnsi="微软雅黑" w:eastAsia="微软雅黑"/>
          <w:sz w:val="24"/>
          <w:szCs w:val="24"/>
        </w:rPr>
        <w:t>程</w:t>
      </w:r>
      <w:r>
        <w:rPr>
          <w:rFonts w:hint="eastAsia" w:ascii="微软雅黑" w:hAnsi="微软雅黑" w:eastAsia="微软雅黑"/>
          <w:sz w:val="24"/>
          <w:szCs w:val="24"/>
        </w:rPr>
        <w:t>设</w:t>
      </w:r>
      <w:r>
        <w:rPr>
          <w:rFonts w:ascii="微软雅黑" w:hAnsi="微软雅黑" w:eastAsia="微软雅黑"/>
          <w:sz w:val="24"/>
          <w:szCs w:val="24"/>
        </w:rPr>
        <w:t>计背景</w:t>
      </w:r>
    </w:p>
    <w:p>
      <w:pPr>
        <w:numPr>
          <w:ilvl w:val="0"/>
          <w:numId w:val="4"/>
        </w:numPr>
        <w:spacing w:line="276" w:lineRule="auto"/>
        <w:ind w:left="601" w:hanging="284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确定课程背景</w:t>
      </w:r>
    </w:p>
    <w:p>
      <w:pPr>
        <w:numPr>
          <w:ilvl w:val="0"/>
          <w:numId w:val="4"/>
        </w:numPr>
        <w:spacing w:line="276" w:lineRule="auto"/>
        <w:ind w:left="601" w:hanging="284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分</w:t>
      </w:r>
      <w:r>
        <w:rPr>
          <w:rFonts w:ascii="微软雅黑" w:hAnsi="微软雅黑" w:eastAsia="微软雅黑"/>
          <w:sz w:val="24"/>
          <w:szCs w:val="24"/>
        </w:rPr>
        <w:t>析培训需求</w:t>
      </w:r>
    </w:p>
    <w:p>
      <w:pPr>
        <w:numPr>
          <w:ilvl w:val="0"/>
          <w:numId w:val="5"/>
        </w:numPr>
        <w:rPr>
          <w:rFonts w:ascii="微软雅黑" w:hAnsi="微软雅黑" w:eastAsia="微软雅黑"/>
        </w:rPr>
      </w:pPr>
      <w:r>
        <w:rPr>
          <w:rFonts w:ascii="微软雅黑" w:hAnsi="微软雅黑" w:eastAsia="微软雅黑"/>
        </w:rPr>
        <w:t>需求分</w:t>
      </w:r>
      <w:r>
        <w:rPr>
          <w:rFonts w:hint="eastAsia" w:ascii="微软雅黑" w:hAnsi="微软雅黑" w:eastAsia="微软雅黑"/>
        </w:rPr>
        <w:t>析：</w:t>
      </w:r>
      <w:r>
        <w:rPr>
          <w:rFonts w:ascii="微软雅黑" w:hAnsi="微软雅黑" w:eastAsia="微软雅黑"/>
        </w:rPr>
        <w:t>学员分析、环境分析、职务分析</w:t>
      </w:r>
    </w:p>
    <w:p>
      <w:pPr>
        <w:numPr>
          <w:ilvl w:val="0"/>
          <w:numId w:val="5"/>
        </w:numPr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解</w:t>
      </w:r>
      <w:r>
        <w:rPr>
          <w:rFonts w:ascii="微软雅黑" w:hAnsi="微软雅黑" w:eastAsia="微软雅黑"/>
        </w:rPr>
        <w:t>决方案</w:t>
      </w:r>
      <w:r>
        <w:rPr>
          <w:rFonts w:hint="eastAsia" w:ascii="微软雅黑" w:hAnsi="微软雅黑" w:eastAsia="微软雅黑"/>
        </w:rPr>
        <w:t>：</w:t>
      </w:r>
      <w:r>
        <w:rPr>
          <w:rFonts w:ascii="微软雅黑" w:hAnsi="微软雅黑" w:eastAsia="微软雅黑"/>
        </w:rPr>
        <w:t>存在问题、解决对策</w:t>
      </w:r>
    </w:p>
    <w:p>
      <w:pPr>
        <w:ind w:firstLine="630" w:firstLineChars="300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实</w:t>
      </w:r>
      <w:r>
        <w:rPr>
          <w:rFonts w:ascii="微软雅黑" w:hAnsi="微软雅黑" w:eastAsia="微软雅黑"/>
        </w:rPr>
        <w:t>践</w:t>
      </w:r>
      <w:r>
        <w:rPr>
          <w:rFonts w:hint="eastAsia" w:ascii="微软雅黑" w:hAnsi="微软雅黑" w:eastAsia="微软雅黑"/>
        </w:rPr>
        <w:t>案例</w:t>
      </w:r>
      <w:r>
        <w:rPr>
          <w:rFonts w:ascii="微软雅黑" w:hAnsi="微软雅黑" w:eastAsia="微软雅黑"/>
        </w:rPr>
        <w:t>：</w:t>
      </w:r>
      <w:r>
        <w:rPr>
          <w:rFonts w:hint="eastAsia" w:ascii="微软雅黑" w:hAnsi="微软雅黑" w:eastAsia="微软雅黑"/>
        </w:rPr>
        <w:t>某集</w:t>
      </w:r>
      <w:r>
        <w:rPr>
          <w:rFonts w:ascii="微软雅黑" w:hAnsi="微软雅黑" w:eastAsia="微软雅黑"/>
        </w:rPr>
        <w:t>团公司内训课</w:t>
      </w:r>
      <w:r>
        <w:rPr>
          <w:rFonts w:hint="eastAsia" w:ascii="微软雅黑" w:hAnsi="微软雅黑" w:eastAsia="微软雅黑"/>
        </w:rPr>
        <w:t>设计</w:t>
      </w:r>
      <w:r>
        <w:rPr>
          <w:rFonts w:ascii="微软雅黑" w:hAnsi="微软雅黑" w:eastAsia="微软雅黑"/>
        </w:rPr>
        <w:t>与开发</w:t>
      </w:r>
      <w:r>
        <w:rPr>
          <w:rFonts w:hint="eastAsia" w:ascii="微软雅黑" w:hAnsi="微软雅黑" w:eastAsia="微软雅黑"/>
        </w:rPr>
        <w:t>背</w:t>
      </w:r>
      <w:r>
        <w:rPr>
          <w:rFonts w:ascii="微软雅黑" w:hAnsi="微软雅黑" w:eastAsia="微软雅黑"/>
        </w:rPr>
        <w:t>景分析案</w:t>
      </w:r>
      <w:r>
        <w:rPr>
          <w:rFonts w:hint="eastAsia" w:ascii="微软雅黑" w:hAnsi="微软雅黑" w:eastAsia="微软雅黑"/>
        </w:rPr>
        <w:t>例</w:t>
      </w:r>
    </w:p>
    <w:p>
      <w:pPr>
        <w:numPr>
          <w:ilvl w:val="0"/>
          <w:numId w:val="4"/>
        </w:numPr>
        <w:spacing w:line="276" w:lineRule="auto"/>
        <w:ind w:left="601" w:hanging="284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课程</w:t>
      </w:r>
      <w:r>
        <w:rPr>
          <w:rFonts w:ascii="微软雅黑" w:hAnsi="微软雅黑" w:eastAsia="微软雅黑"/>
          <w:sz w:val="24"/>
          <w:szCs w:val="24"/>
        </w:rPr>
        <w:t>设计开发模</w:t>
      </w:r>
      <w:r>
        <w:rPr>
          <w:rFonts w:hint="eastAsia" w:ascii="微软雅黑" w:hAnsi="微软雅黑" w:eastAsia="微软雅黑"/>
          <w:sz w:val="24"/>
          <w:szCs w:val="24"/>
        </w:rPr>
        <w:t>型</w:t>
      </w:r>
      <w:r>
        <w:rPr>
          <w:rFonts w:ascii="微软雅黑" w:hAnsi="微软雅黑" w:eastAsia="微软雅黑"/>
          <w:sz w:val="24"/>
          <w:szCs w:val="24"/>
        </w:rPr>
        <w:t>（</w:t>
      </w:r>
      <w:r>
        <w:rPr>
          <w:rFonts w:hint="eastAsia" w:ascii="微软雅黑" w:hAnsi="微软雅黑" w:eastAsia="微软雅黑"/>
          <w:sz w:val="24"/>
          <w:szCs w:val="24"/>
        </w:rPr>
        <w:t>ADDIE</w:t>
      </w:r>
      <w:r>
        <w:rPr>
          <w:rFonts w:ascii="微软雅黑" w:hAnsi="微软雅黑" w:eastAsia="微软雅黑"/>
          <w:sz w:val="24"/>
          <w:szCs w:val="24"/>
        </w:rPr>
        <w:t>）</w:t>
      </w:r>
      <w:r>
        <w:rPr>
          <w:rFonts w:hint="eastAsia" w:ascii="微软雅黑" w:hAnsi="微软雅黑" w:eastAsia="微软雅黑"/>
          <w:sz w:val="24"/>
          <w:szCs w:val="24"/>
        </w:rPr>
        <w:t>分</w:t>
      </w:r>
      <w:r>
        <w:rPr>
          <w:rFonts w:ascii="微软雅黑" w:hAnsi="微软雅黑" w:eastAsia="微软雅黑"/>
          <w:sz w:val="24"/>
          <w:szCs w:val="24"/>
        </w:rPr>
        <w:t>析与运用</w:t>
      </w:r>
    </w:p>
    <w:p>
      <w:p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 xml:space="preserve">      </w:t>
      </w:r>
    </w:p>
    <w:p>
      <w:pPr>
        <w:spacing w:line="276" w:lineRule="auto"/>
        <w:rPr>
          <w:rFonts w:ascii="微软雅黑" w:hAnsi="微软雅黑" w:eastAsia="微软雅黑"/>
          <w:sz w:val="24"/>
          <w:szCs w:val="24"/>
        </w:rPr>
      </w:pPr>
      <w:r>
        <w:rPr>
          <w:rFonts w:ascii="微软雅黑" w:hAnsi="微软雅黑" w:eastAsia="微软雅黑"/>
          <w:sz w:val="24"/>
          <w:szCs w:val="24"/>
        </w:rPr>
        <w:t>2</w:t>
      </w:r>
      <w:r>
        <w:rPr>
          <w:rFonts w:hint="eastAsia" w:ascii="微软雅黑" w:hAnsi="微软雅黑" w:eastAsia="微软雅黑"/>
          <w:sz w:val="24"/>
          <w:szCs w:val="24"/>
        </w:rPr>
        <w:t>、确定培训目标</w:t>
      </w:r>
    </w:p>
    <w:p>
      <w:pPr>
        <w:numPr>
          <w:ilvl w:val="0"/>
          <w:numId w:val="4"/>
        </w:numPr>
        <w:spacing w:line="276" w:lineRule="auto"/>
        <w:ind w:left="601" w:hanging="284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确定课程主题</w:t>
      </w:r>
    </w:p>
    <w:p>
      <w:pPr>
        <w:spacing w:line="276" w:lineRule="auto"/>
        <w:ind w:left="601"/>
        <w:rPr>
          <w:rFonts w:hint="eastAsia"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练</w:t>
      </w:r>
      <w:r>
        <w:rPr>
          <w:rFonts w:ascii="微软雅黑" w:hAnsi="微软雅黑" w:eastAsia="微软雅黑"/>
          <w:sz w:val="24"/>
          <w:szCs w:val="24"/>
        </w:rPr>
        <w:t>习：</w:t>
      </w:r>
      <w:r>
        <w:rPr>
          <w:rFonts w:hint="eastAsia" w:ascii="微软雅黑" w:hAnsi="微软雅黑" w:eastAsia="微软雅黑"/>
          <w:sz w:val="24"/>
          <w:szCs w:val="24"/>
        </w:rPr>
        <w:t>设</w:t>
      </w:r>
      <w:r>
        <w:rPr>
          <w:rFonts w:ascii="微软雅黑" w:hAnsi="微软雅黑" w:eastAsia="微软雅黑"/>
          <w:sz w:val="24"/>
          <w:szCs w:val="24"/>
        </w:rPr>
        <w:t>计自己主讲课程的主题</w:t>
      </w:r>
    </w:p>
    <w:p>
      <w:pPr>
        <w:numPr>
          <w:ilvl w:val="0"/>
          <w:numId w:val="4"/>
        </w:numPr>
        <w:spacing w:line="276" w:lineRule="auto"/>
        <w:ind w:left="601" w:hanging="284"/>
        <w:rPr>
          <w:rFonts w:ascii="微软雅黑" w:hAnsi="微软雅黑" w:eastAsia="微软雅黑"/>
          <w:b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确定培训对象</w:t>
      </w:r>
    </w:p>
    <w:p>
      <w:pPr>
        <w:spacing w:line="276" w:lineRule="auto"/>
        <w:ind w:left="601"/>
        <w:rPr>
          <w:rFonts w:hint="eastAsia"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练</w:t>
      </w:r>
      <w:r>
        <w:rPr>
          <w:rFonts w:ascii="微软雅黑" w:hAnsi="微软雅黑" w:eastAsia="微软雅黑"/>
          <w:sz w:val="24"/>
          <w:szCs w:val="24"/>
        </w:rPr>
        <w:t>习：</w:t>
      </w:r>
      <w:r>
        <w:rPr>
          <w:rFonts w:hint="eastAsia" w:ascii="微软雅黑" w:hAnsi="微软雅黑" w:eastAsia="微软雅黑"/>
          <w:sz w:val="24"/>
          <w:szCs w:val="24"/>
        </w:rPr>
        <w:t>设</w:t>
      </w:r>
      <w:r>
        <w:rPr>
          <w:rFonts w:ascii="微软雅黑" w:hAnsi="微软雅黑" w:eastAsia="微软雅黑"/>
          <w:sz w:val="24"/>
          <w:szCs w:val="24"/>
        </w:rPr>
        <w:t>计自己主讲课程的</w:t>
      </w:r>
      <w:r>
        <w:rPr>
          <w:rFonts w:hint="eastAsia" w:ascii="微软雅黑" w:hAnsi="微软雅黑" w:eastAsia="微软雅黑"/>
          <w:sz w:val="24"/>
          <w:szCs w:val="24"/>
        </w:rPr>
        <w:t>培训对象</w:t>
      </w:r>
    </w:p>
    <w:p>
      <w:pPr>
        <w:numPr>
          <w:ilvl w:val="0"/>
          <w:numId w:val="4"/>
        </w:numPr>
        <w:spacing w:line="276" w:lineRule="auto"/>
        <w:ind w:left="601" w:hanging="284"/>
        <w:rPr>
          <w:rFonts w:ascii="微软雅黑" w:hAnsi="微软雅黑" w:eastAsia="微软雅黑"/>
          <w:b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确定课程总体目标</w:t>
      </w:r>
    </w:p>
    <w:p>
      <w:pPr>
        <w:spacing w:line="276" w:lineRule="auto"/>
        <w:ind w:firstLine="600" w:firstLineChars="250"/>
        <w:rPr>
          <w:rFonts w:hint="eastAsia"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练</w:t>
      </w:r>
      <w:r>
        <w:rPr>
          <w:rFonts w:ascii="微软雅黑" w:hAnsi="微软雅黑" w:eastAsia="微软雅黑"/>
          <w:sz w:val="24"/>
          <w:szCs w:val="24"/>
        </w:rPr>
        <w:t>习：</w:t>
      </w:r>
      <w:r>
        <w:rPr>
          <w:rFonts w:hint="eastAsia" w:ascii="微软雅黑" w:hAnsi="微软雅黑" w:eastAsia="微软雅黑"/>
          <w:sz w:val="24"/>
          <w:szCs w:val="24"/>
        </w:rPr>
        <w:t>设</w:t>
      </w:r>
      <w:r>
        <w:rPr>
          <w:rFonts w:ascii="微软雅黑" w:hAnsi="微软雅黑" w:eastAsia="微软雅黑"/>
          <w:sz w:val="24"/>
          <w:szCs w:val="24"/>
        </w:rPr>
        <w:t>计自己主讲课程的</w:t>
      </w:r>
      <w:r>
        <w:rPr>
          <w:rFonts w:hint="eastAsia" w:ascii="微软雅黑" w:hAnsi="微软雅黑" w:eastAsia="微软雅黑"/>
          <w:sz w:val="24"/>
          <w:szCs w:val="24"/>
        </w:rPr>
        <w:t>总体</w:t>
      </w:r>
      <w:r>
        <w:rPr>
          <w:rFonts w:ascii="微软雅黑" w:hAnsi="微软雅黑" w:eastAsia="微软雅黑"/>
          <w:sz w:val="24"/>
          <w:szCs w:val="24"/>
        </w:rPr>
        <w:t>目</w:t>
      </w:r>
      <w:r>
        <w:rPr>
          <w:rFonts w:hint="eastAsia" w:ascii="微软雅黑" w:hAnsi="微软雅黑" w:eastAsia="微软雅黑"/>
          <w:sz w:val="24"/>
          <w:szCs w:val="24"/>
        </w:rPr>
        <w:t>标</w:t>
      </w:r>
    </w:p>
    <w:p>
      <w:pPr>
        <w:spacing w:line="276" w:lineRule="auto"/>
        <w:rPr>
          <w:rFonts w:ascii="微软雅黑" w:hAnsi="微软雅黑" w:eastAsia="微软雅黑"/>
          <w:sz w:val="24"/>
          <w:szCs w:val="24"/>
        </w:rPr>
      </w:pPr>
      <w:r>
        <w:rPr>
          <w:rFonts w:ascii="微软雅黑" w:hAnsi="微软雅黑" w:eastAsia="微软雅黑"/>
          <w:sz w:val="24"/>
          <w:szCs w:val="24"/>
        </w:rPr>
        <w:t>3</w:t>
      </w:r>
      <w:r>
        <w:rPr>
          <w:rFonts w:hint="eastAsia" w:ascii="微软雅黑" w:hAnsi="微软雅黑" w:eastAsia="微软雅黑"/>
          <w:sz w:val="24"/>
          <w:szCs w:val="24"/>
        </w:rPr>
        <w:t>、搭建内容框架</w:t>
      </w:r>
    </w:p>
    <w:p>
      <w:pPr>
        <w:numPr>
          <w:ilvl w:val="0"/>
          <w:numId w:val="4"/>
        </w:numPr>
        <w:spacing w:line="276" w:lineRule="auto"/>
        <w:ind w:left="601" w:hanging="284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列出培训大纲</w:t>
      </w:r>
    </w:p>
    <w:p>
      <w:pPr>
        <w:spacing w:line="276" w:lineRule="auto"/>
        <w:ind w:left="601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思考练</w:t>
      </w:r>
      <w:r>
        <w:rPr>
          <w:rFonts w:ascii="微软雅黑" w:hAnsi="微软雅黑" w:eastAsia="微软雅黑"/>
          <w:sz w:val="24"/>
          <w:szCs w:val="24"/>
        </w:rPr>
        <w:t>习：</w:t>
      </w:r>
      <w:r>
        <w:rPr>
          <w:rFonts w:hint="eastAsia" w:ascii="微软雅黑" w:hAnsi="微软雅黑" w:eastAsia="微软雅黑"/>
          <w:sz w:val="24"/>
          <w:szCs w:val="24"/>
        </w:rPr>
        <w:t>3级</w:t>
      </w:r>
      <w:r>
        <w:rPr>
          <w:rFonts w:ascii="微软雅黑" w:hAnsi="微软雅黑" w:eastAsia="微软雅黑"/>
          <w:sz w:val="24"/>
          <w:szCs w:val="24"/>
        </w:rPr>
        <w:t>大纲</w:t>
      </w:r>
    </w:p>
    <w:p>
      <w:pPr>
        <w:numPr>
          <w:ilvl w:val="0"/>
          <w:numId w:val="4"/>
        </w:numPr>
        <w:spacing w:line="276" w:lineRule="auto"/>
        <w:ind w:left="601" w:hanging="284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确定培训策略</w:t>
      </w:r>
    </w:p>
    <w:p>
      <w:pPr>
        <w:spacing w:line="276" w:lineRule="auto"/>
        <w:ind w:left="735"/>
        <w:rPr>
          <w:rFonts w:hint="eastAsia"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思考练</w:t>
      </w:r>
      <w:r>
        <w:rPr>
          <w:rFonts w:ascii="微软雅黑" w:hAnsi="微软雅黑" w:eastAsia="微软雅黑"/>
          <w:sz w:val="24"/>
          <w:szCs w:val="24"/>
        </w:rPr>
        <w:t>习：</w:t>
      </w:r>
      <w:r>
        <w:rPr>
          <w:rFonts w:hint="eastAsia" w:ascii="微软雅黑" w:hAnsi="微软雅黑" w:eastAsia="微软雅黑"/>
          <w:sz w:val="24"/>
          <w:szCs w:val="24"/>
        </w:rPr>
        <w:t>培训策</w:t>
      </w:r>
      <w:r>
        <w:rPr>
          <w:rFonts w:ascii="微软雅黑" w:hAnsi="微软雅黑" w:eastAsia="微软雅黑"/>
          <w:sz w:val="24"/>
          <w:szCs w:val="24"/>
        </w:rPr>
        <w:t>略采取</w:t>
      </w:r>
    </w:p>
    <w:p>
      <w:pPr>
        <w:numPr>
          <w:ilvl w:val="0"/>
          <w:numId w:val="4"/>
        </w:numPr>
        <w:spacing w:line="276" w:lineRule="auto"/>
        <w:ind w:left="601" w:hanging="284"/>
        <w:rPr>
          <w:rFonts w:ascii="微软雅黑" w:hAnsi="微软雅黑" w:eastAsia="微软雅黑"/>
          <w:b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确定培训目标</w:t>
      </w:r>
    </w:p>
    <w:p>
      <w:pPr>
        <w:spacing w:line="276" w:lineRule="auto"/>
        <w:ind w:left="601"/>
        <w:rPr>
          <w:rFonts w:hint="eastAsia" w:ascii="微软雅黑" w:hAnsi="微软雅黑" w:eastAsia="微软雅黑"/>
          <w:b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思考练</w:t>
      </w:r>
      <w:r>
        <w:rPr>
          <w:rFonts w:ascii="微软雅黑" w:hAnsi="微软雅黑" w:eastAsia="微软雅黑"/>
          <w:sz w:val="24"/>
          <w:szCs w:val="24"/>
        </w:rPr>
        <w:t>习：</w:t>
      </w:r>
      <w:r>
        <w:rPr>
          <w:rFonts w:hint="eastAsia" w:ascii="微软雅黑" w:hAnsi="微软雅黑" w:eastAsia="微软雅黑"/>
          <w:sz w:val="24"/>
          <w:szCs w:val="24"/>
        </w:rPr>
        <w:t>培训</w:t>
      </w:r>
      <w:r>
        <w:rPr>
          <w:rFonts w:ascii="微软雅黑" w:hAnsi="微软雅黑" w:eastAsia="微软雅黑"/>
          <w:sz w:val="24"/>
          <w:szCs w:val="24"/>
        </w:rPr>
        <w:t>目标细化</w:t>
      </w:r>
    </w:p>
    <w:p>
      <w:pPr>
        <w:numPr>
          <w:ilvl w:val="0"/>
          <w:numId w:val="4"/>
        </w:numPr>
        <w:spacing w:line="276" w:lineRule="auto"/>
        <w:ind w:left="601" w:hanging="284"/>
        <w:rPr>
          <w:rFonts w:ascii="微软雅黑" w:hAnsi="微软雅黑" w:eastAsia="微软雅黑"/>
          <w:b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确定培训顺序</w:t>
      </w:r>
    </w:p>
    <w:p>
      <w:pPr>
        <w:spacing w:line="276" w:lineRule="auto"/>
        <w:ind w:firstLine="600" w:firstLineChars="250"/>
        <w:rPr>
          <w:rFonts w:hint="eastAsia" w:ascii="微软雅黑" w:hAnsi="微软雅黑" w:eastAsia="微软雅黑"/>
          <w:b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思考练</w:t>
      </w:r>
      <w:r>
        <w:rPr>
          <w:rFonts w:ascii="微软雅黑" w:hAnsi="微软雅黑" w:eastAsia="微软雅黑"/>
          <w:sz w:val="24"/>
          <w:szCs w:val="24"/>
        </w:rPr>
        <w:t>习：</w:t>
      </w:r>
      <w:r>
        <w:rPr>
          <w:rFonts w:hint="eastAsia" w:ascii="微软雅黑" w:hAnsi="微软雅黑" w:eastAsia="微软雅黑"/>
          <w:sz w:val="24"/>
          <w:szCs w:val="24"/>
        </w:rPr>
        <w:t>培训顺序</w:t>
      </w:r>
      <w:r>
        <w:rPr>
          <w:rFonts w:ascii="微软雅黑" w:hAnsi="微软雅黑" w:eastAsia="微软雅黑"/>
          <w:sz w:val="24"/>
          <w:szCs w:val="24"/>
        </w:rPr>
        <w:t>分析</w:t>
      </w:r>
    </w:p>
    <w:p>
      <w:pPr>
        <w:spacing w:line="276" w:lineRule="auto"/>
        <w:rPr>
          <w:rFonts w:ascii="微软雅黑" w:hAnsi="微软雅黑" w:eastAsia="微软雅黑"/>
          <w:sz w:val="24"/>
          <w:szCs w:val="24"/>
        </w:rPr>
      </w:pPr>
      <w:r>
        <w:rPr>
          <w:rFonts w:ascii="微软雅黑" w:hAnsi="微软雅黑" w:eastAsia="微软雅黑"/>
          <w:sz w:val="24"/>
          <w:szCs w:val="24"/>
        </w:rPr>
        <w:t>4</w:t>
      </w:r>
      <w:r>
        <w:rPr>
          <w:rFonts w:hint="eastAsia" w:ascii="微软雅黑" w:hAnsi="微软雅黑" w:eastAsia="微软雅黑"/>
          <w:sz w:val="24"/>
          <w:szCs w:val="24"/>
        </w:rPr>
        <w:t>、设计教学方法</w:t>
      </w:r>
    </w:p>
    <w:p>
      <w:pPr>
        <w:numPr>
          <w:ilvl w:val="0"/>
          <w:numId w:val="4"/>
        </w:numPr>
        <w:spacing w:line="276" w:lineRule="auto"/>
        <w:ind w:left="601" w:hanging="284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成人学习五步法</w:t>
      </w:r>
    </w:p>
    <w:p>
      <w:pPr>
        <w:numPr>
          <w:ilvl w:val="0"/>
          <w:numId w:val="4"/>
        </w:numPr>
        <w:spacing w:line="276" w:lineRule="auto"/>
        <w:ind w:left="601" w:hanging="284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设计教学方法</w:t>
      </w:r>
    </w:p>
    <w:p>
      <w:pPr>
        <w:numPr>
          <w:ilvl w:val="0"/>
          <w:numId w:val="4"/>
        </w:numPr>
        <w:spacing w:line="276" w:lineRule="auto"/>
        <w:ind w:left="601" w:hanging="284"/>
        <w:rPr>
          <w:rFonts w:hint="eastAsia"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预估培训时间</w:t>
      </w:r>
    </w:p>
    <w:p>
      <w:pPr>
        <w:numPr>
          <w:ilvl w:val="0"/>
          <w:numId w:val="4"/>
        </w:numPr>
        <w:spacing w:line="276" w:lineRule="auto"/>
        <w:ind w:left="601" w:hanging="284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绘制课程效果图</w:t>
      </w:r>
    </w:p>
    <w:p>
      <w:pPr>
        <w:spacing w:line="276" w:lineRule="auto"/>
        <w:ind w:firstLine="600" w:firstLineChars="250"/>
        <w:rPr>
          <w:rFonts w:hint="eastAsia" w:ascii="微软雅黑" w:hAnsi="微软雅黑" w:eastAsia="微软雅黑"/>
          <w:b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思考练</w:t>
      </w:r>
      <w:r>
        <w:rPr>
          <w:rFonts w:ascii="微软雅黑" w:hAnsi="微软雅黑" w:eastAsia="微软雅黑"/>
          <w:sz w:val="24"/>
          <w:szCs w:val="24"/>
        </w:rPr>
        <w:t>习：</w:t>
      </w:r>
      <w:r>
        <w:rPr>
          <w:rFonts w:hint="eastAsia" w:ascii="微软雅黑" w:hAnsi="微软雅黑" w:eastAsia="微软雅黑"/>
          <w:sz w:val="24"/>
          <w:szCs w:val="24"/>
        </w:rPr>
        <w:t>设计45分</w:t>
      </w:r>
      <w:r>
        <w:rPr>
          <w:rFonts w:ascii="微软雅黑" w:hAnsi="微软雅黑" w:eastAsia="微软雅黑"/>
          <w:sz w:val="24"/>
          <w:szCs w:val="24"/>
        </w:rPr>
        <w:t>钟及以上</w:t>
      </w:r>
      <w:r>
        <w:rPr>
          <w:rFonts w:hint="eastAsia" w:ascii="微软雅黑" w:hAnsi="微软雅黑" w:eastAsia="微软雅黑"/>
          <w:sz w:val="24"/>
          <w:szCs w:val="24"/>
        </w:rPr>
        <w:t>课</w:t>
      </w:r>
      <w:r>
        <w:rPr>
          <w:rFonts w:ascii="微软雅黑" w:hAnsi="微软雅黑" w:eastAsia="微软雅黑"/>
          <w:sz w:val="24"/>
          <w:szCs w:val="24"/>
        </w:rPr>
        <w:t>程效果图</w:t>
      </w:r>
    </w:p>
    <w:p>
      <w:pPr>
        <w:numPr>
          <w:ilvl w:val="0"/>
          <w:numId w:val="2"/>
        </w:numPr>
        <w:spacing w:line="276" w:lineRule="auto"/>
        <w:jc w:val="left"/>
        <w:rPr>
          <w:rFonts w:hint="eastAsia" w:ascii="微软雅黑" w:hAnsi="微软雅黑" w:eastAsia="微软雅黑"/>
          <w:b/>
          <w:sz w:val="24"/>
          <w:szCs w:val="24"/>
        </w:rPr>
      </w:pPr>
      <w:r>
        <w:rPr>
          <w:rFonts w:hint="eastAsia" w:ascii="微软雅黑" w:hAnsi="微软雅黑" w:eastAsia="微软雅黑"/>
          <w:b/>
          <w:sz w:val="24"/>
          <w:szCs w:val="24"/>
        </w:rPr>
        <w:t>充实课程内容---课程开发</w:t>
      </w:r>
    </w:p>
    <w:p>
      <w:pPr>
        <w:spacing w:line="276" w:lineRule="auto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1、课程开发方法</w:t>
      </w:r>
    </w:p>
    <w:p>
      <w:pPr>
        <w:numPr>
          <w:ilvl w:val="0"/>
          <w:numId w:val="4"/>
        </w:numPr>
        <w:spacing w:line="276" w:lineRule="auto"/>
        <w:ind w:left="601" w:hanging="284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认知模型</w:t>
      </w:r>
    </w:p>
    <w:p>
      <w:pPr>
        <w:numPr>
          <w:ilvl w:val="0"/>
          <w:numId w:val="4"/>
        </w:numPr>
        <w:spacing w:line="276" w:lineRule="auto"/>
        <w:ind w:left="601" w:hanging="284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选择性认知</w:t>
      </w:r>
    </w:p>
    <w:p>
      <w:pPr>
        <w:numPr>
          <w:ilvl w:val="0"/>
          <w:numId w:val="4"/>
        </w:numPr>
        <w:spacing w:line="276" w:lineRule="auto"/>
        <w:ind w:left="601" w:hanging="284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链接到已有知识</w:t>
      </w:r>
    </w:p>
    <w:p>
      <w:pPr>
        <w:numPr>
          <w:ilvl w:val="0"/>
          <w:numId w:val="4"/>
        </w:numPr>
        <w:spacing w:line="276" w:lineRule="auto"/>
        <w:ind w:left="601" w:hanging="284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组织知识</w:t>
      </w:r>
    </w:p>
    <w:p>
      <w:pPr>
        <w:numPr>
          <w:ilvl w:val="0"/>
          <w:numId w:val="4"/>
        </w:numPr>
        <w:spacing w:line="276" w:lineRule="auto"/>
        <w:ind w:left="601" w:hanging="284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消化与吸收</w:t>
      </w:r>
    </w:p>
    <w:p>
      <w:pPr>
        <w:numPr>
          <w:ilvl w:val="0"/>
          <w:numId w:val="4"/>
        </w:numPr>
        <w:spacing w:line="276" w:lineRule="auto"/>
        <w:ind w:left="601" w:hanging="284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强化</w:t>
      </w:r>
    </w:p>
    <w:p>
      <w:pPr>
        <w:spacing w:line="276" w:lineRule="auto"/>
        <w:rPr>
          <w:rFonts w:hint="eastAsia"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2、制作讲师手册</w:t>
      </w:r>
    </w:p>
    <w:p>
      <w:pPr>
        <w:numPr>
          <w:ilvl w:val="0"/>
          <w:numId w:val="4"/>
        </w:numPr>
        <w:spacing w:line="276" w:lineRule="auto"/>
        <w:ind w:left="601" w:hanging="284"/>
        <w:rPr>
          <w:rFonts w:hint="eastAsia"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制作讲师手册的目的</w:t>
      </w:r>
    </w:p>
    <w:p>
      <w:pPr>
        <w:numPr>
          <w:ilvl w:val="0"/>
          <w:numId w:val="4"/>
        </w:numPr>
        <w:spacing w:line="276" w:lineRule="auto"/>
        <w:ind w:left="601" w:hanging="284"/>
        <w:rPr>
          <w:rFonts w:hint="eastAsia"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讲师手册的基本结构及要求</w:t>
      </w:r>
    </w:p>
    <w:p>
      <w:pPr>
        <w:spacing w:line="276" w:lineRule="auto"/>
        <w:rPr>
          <w:rFonts w:hint="eastAsia"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3、制作学员手册</w:t>
      </w:r>
    </w:p>
    <w:p>
      <w:pPr>
        <w:numPr>
          <w:ilvl w:val="0"/>
          <w:numId w:val="4"/>
        </w:numPr>
        <w:spacing w:line="276" w:lineRule="auto"/>
        <w:ind w:left="601" w:hanging="284"/>
        <w:rPr>
          <w:rFonts w:hint="eastAsia"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制作学员手册的目的</w:t>
      </w:r>
    </w:p>
    <w:p>
      <w:pPr>
        <w:numPr>
          <w:ilvl w:val="0"/>
          <w:numId w:val="4"/>
        </w:numPr>
        <w:spacing w:line="276" w:lineRule="auto"/>
        <w:ind w:left="601" w:hanging="284"/>
        <w:rPr>
          <w:rFonts w:hint="eastAsia"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学员手册的基本结构及要求</w:t>
      </w:r>
    </w:p>
    <w:p>
      <w:pPr>
        <w:spacing w:line="276" w:lineRule="auto"/>
        <w:rPr>
          <w:rFonts w:hint="eastAsia"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4、制作测评资料</w:t>
      </w:r>
    </w:p>
    <w:p>
      <w:pPr>
        <w:numPr>
          <w:ilvl w:val="0"/>
          <w:numId w:val="6"/>
        </w:numPr>
        <w:spacing w:line="276" w:lineRule="auto"/>
        <w:rPr>
          <w:rFonts w:hint="eastAsia" w:ascii="微软雅黑" w:hAnsi="微软雅黑" w:eastAsia="微软雅黑"/>
          <w:b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阶段性评估</w:t>
      </w:r>
    </w:p>
    <w:p>
      <w:pPr>
        <w:numPr>
          <w:ilvl w:val="0"/>
          <w:numId w:val="6"/>
        </w:numPr>
        <w:spacing w:line="276" w:lineRule="auto"/>
        <w:rPr>
          <w:rFonts w:hint="eastAsia" w:ascii="微软雅黑" w:hAnsi="微软雅黑" w:eastAsia="微软雅黑"/>
          <w:b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总结性评估</w:t>
      </w:r>
    </w:p>
    <w:p>
      <w:pPr>
        <w:spacing w:line="276" w:lineRule="auto"/>
        <w:rPr>
          <w:rFonts w:hint="eastAsia"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5、制作PPT课件</w:t>
      </w:r>
    </w:p>
    <w:p>
      <w:pPr>
        <w:numPr>
          <w:ilvl w:val="0"/>
          <w:numId w:val="7"/>
        </w:numPr>
        <w:spacing w:line="276" w:lineRule="auto"/>
        <w:rPr>
          <w:rFonts w:hint="eastAsia" w:ascii="微软雅黑" w:hAnsi="微软雅黑" w:eastAsia="微软雅黑"/>
          <w:sz w:val="22"/>
        </w:rPr>
      </w:pPr>
      <w:r>
        <w:rPr>
          <w:rFonts w:hint="eastAsia" w:ascii="微软雅黑" w:hAnsi="微软雅黑" w:eastAsia="微软雅黑"/>
          <w:sz w:val="22"/>
        </w:rPr>
        <w:t>制作PPT课件的目的及原则</w:t>
      </w:r>
    </w:p>
    <w:p>
      <w:pPr>
        <w:numPr>
          <w:ilvl w:val="0"/>
          <w:numId w:val="4"/>
        </w:numPr>
        <w:spacing w:line="276" w:lineRule="auto"/>
        <w:ind w:left="601" w:hanging="284"/>
        <w:rPr>
          <w:rFonts w:hint="eastAsia" w:ascii="微软雅黑" w:hAnsi="微软雅黑" w:eastAsia="微软雅黑"/>
          <w:sz w:val="22"/>
        </w:rPr>
      </w:pPr>
      <w:r>
        <w:rPr>
          <w:rFonts w:hint="eastAsia" w:ascii="微软雅黑" w:hAnsi="微软雅黑" w:eastAsia="微软雅黑"/>
          <w:sz w:val="22"/>
        </w:rPr>
        <w:t>制作PPT课件的目的</w:t>
      </w:r>
    </w:p>
    <w:p>
      <w:pPr>
        <w:numPr>
          <w:ilvl w:val="0"/>
          <w:numId w:val="4"/>
        </w:numPr>
        <w:spacing w:line="276" w:lineRule="auto"/>
        <w:ind w:left="601" w:hanging="284"/>
        <w:rPr>
          <w:rFonts w:hint="eastAsia" w:ascii="微软雅黑" w:hAnsi="微软雅黑" w:eastAsia="微软雅黑"/>
          <w:sz w:val="22"/>
        </w:rPr>
      </w:pPr>
      <w:r>
        <w:rPr>
          <w:rFonts w:hint="eastAsia" w:ascii="微软雅黑" w:hAnsi="微软雅黑" w:eastAsia="微软雅黑"/>
          <w:sz w:val="22"/>
        </w:rPr>
        <w:t>制作PPT课件的原则</w:t>
      </w:r>
    </w:p>
    <w:p>
      <w:pPr>
        <w:numPr>
          <w:ilvl w:val="0"/>
          <w:numId w:val="7"/>
        </w:numPr>
        <w:spacing w:line="276" w:lineRule="auto"/>
        <w:rPr>
          <w:rFonts w:hint="eastAsia" w:ascii="微软雅黑" w:hAnsi="微软雅黑" w:eastAsia="微软雅黑"/>
          <w:sz w:val="22"/>
        </w:rPr>
      </w:pPr>
      <w:r>
        <w:rPr>
          <w:rFonts w:hint="eastAsia" w:ascii="微软雅黑" w:hAnsi="微软雅黑" w:eastAsia="微软雅黑"/>
          <w:sz w:val="22"/>
        </w:rPr>
        <w:t>PPT课件的要素及要求</w:t>
      </w:r>
    </w:p>
    <w:p>
      <w:pPr>
        <w:numPr>
          <w:ilvl w:val="0"/>
          <w:numId w:val="4"/>
        </w:numPr>
        <w:spacing w:line="276" w:lineRule="auto"/>
        <w:ind w:left="601" w:hanging="284"/>
        <w:rPr>
          <w:rFonts w:hint="eastAsia" w:ascii="微软雅黑" w:hAnsi="微软雅黑" w:eastAsia="微软雅黑"/>
          <w:sz w:val="22"/>
        </w:rPr>
      </w:pPr>
      <w:r>
        <w:rPr>
          <w:rFonts w:hint="eastAsia" w:ascii="微软雅黑" w:hAnsi="微软雅黑" w:eastAsia="微软雅黑"/>
          <w:sz w:val="22"/>
        </w:rPr>
        <w:t>文字的基本要求</w:t>
      </w:r>
    </w:p>
    <w:p>
      <w:pPr>
        <w:numPr>
          <w:ilvl w:val="0"/>
          <w:numId w:val="4"/>
        </w:numPr>
        <w:spacing w:line="276" w:lineRule="auto"/>
        <w:ind w:left="601" w:hanging="284"/>
        <w:rPr>
          <w:rFonts w:hint="eastAsia" w:ascii="微软雅黑" w:hAnsi="微软雅黑" w:eastAsia="微软雅黑"/>
          <w:sz w:val="22"/>
        </w:rPr>
      </w:pPr>
      <w:r>
        <w:rPr>
          <w:rFonts w:hint="eastAsia" w:ascii="微软雅黑" w:hAnsi="微软雅黑" w:eastAsia="微软雅黑"/>
          <w:sz w:val="22"/>
        </w:rPr>
        <w:t>图形的基本要求</w:t>
      </w:r>
    </w:p>
    <w:p>
      <w:pPr>
        <w:numPr>
          <w:ilvl w:val="0"/>
          <w:numId w:val="4"/>
        </w:numPr>
        <w:spacing w:line="276" w:lineRule="auto"/>
        <w:ind w:left="601" w:hanging="284"/>
        <w:rPr>
          <w:rFonts w:hint="eastAsia" w:ascii="微软雅黑" w:hAnsi="微软雅黑" w:eastAsia="微软雅黑"/>
          <w:sz w:val="22"/>
        </w:rPr>
      </w:pPr>
      <w:r>
        <w:rPr>
          <w:rFonts w:hint="eastAsia" w:ascii="微软雅黑" w:hAnsi="微软雅黑" w:eastAsia="微软雅黑"/>
          <w:sz w:val="22"/>
        </w:rPr>
        <w:t>颜色的基本要求</w:t>
      </w:r>
    </w:p>
    <w:p>
      <w:pPr>
        <w:numPr>
          <w:ilvl w:val="0"/>
          <w:numId w:val="4"/>
        </w:numPr>
        <w:spacing w:line="276" w:lineRule="auto"/>
        <w:ind w:left="601" w:hanging="284"/>
        <w:rPr>
          <w:rFonts w:hint="eastAsia" w:ascii="微软雅黑" w:hAnsi="微软雅黑" w:eastAsia="微软雅黑"/>
          <w:sz w:val="22"/>
        </w:rPr>
      </w:pPr>
      <w:r>
        <w:rPr>
          <w:rFonts w:hint="eastAsia" w:ascii="微软雅黑" w:hAnsi="微软雅黑" w:eastAsia="微软雅黑"/>
          <w:sz w:val="22"/>
        </w:rPr>
        <w:t>逻辑的基本要求</w:t>
      </w:r>
    </w:p>
    <w:p>
      <w:pPr>
        <w:numPr>
          <w:ilvl w:val="0"/>
          <w:numId w:val="7"/>
        </w:numPr>
        <w:spacing w:line="276" w:lineRule="auto"/>
        <w:rPr>
          <w:rFonts w:hint="eastAsia" w:ascii="微软雅黑" w:hAnsi="微软雅黑" w:eastAsia="微软雅黑"/>
          <w:sz w:val="22"/>
        </w:rPr>
      </w:pPr>
      <w:r>
        <w:rPr>
          <w:rFonts w:hint="eastAsia" w:ascii="微软雅黑" w:hAnsi="微软雅黑" w:eastAsia="微软雅黑"/>
          <w:sz w:val="22"/>
        </w:rPr>
        <w:t>PPT课件的排版及布局</w:t>
      </w:r>
    </w:p>
    <w:p>
      <w:pPr>
        <w:numPr>
          <w:ilvl w:val="0"/>
          <w:numId w:val="4"/>
        </w:numPr>
        <w:spacing w:line="276" w:lineRule="auto"/>
        <w:ind w:left="601" w:hanging="284"/>
        <w:rPr>
          <w:rFonts w:hint="eastAsia" w:ascii="微软雅黑" w:hAnsi="微软雅黑" w:eastAsia="微软雅黑"/>
          <w:sz w:val="22"/>
        </w:rPr>
      </w:pPr>
      <w:r>
        <w:rPr>
          <w:rFonts w:hint="eastAsia" w:ascii="微软雅黑" w:hAnsi="微软雅黑" w:eastAsia="微软雅黑"/>
          <w:sz w:val="22"/>
        </w:rPr>
        <w:t>三等分原则</w:t>
      </w:r>
    </w:p>
    <w:p>
      <w:pPr>
        <w:numPr>
          <w:ilvl w:val="0"/>
          <w:numId w:val="4"/>
        </w:numPr>
        <w:spacing w:line="276" w:lineRule="auto"/>
        <w:ind w:left="601" w:hanging="284"/>
        <w:rPr>
          <w:rFonts w:hint="eastAsia" w:ascii="微软雅黑" w:hAnsi="微软雅黑" w:eastAsia="微软雅黑"/>
          <w:sz w:val="22"/>
        </w:rPr>
      </w:pPr>
      <w:r>
        <w:rPr>
          <w:rFonts w:hint="eastAsia" w:ascii="微软雅黑" w:hAnsi="微软雅黑" w:eastAsia="微软雅黑"/>
          <w:sz w:val="22"/>
        </w:rPr>
        <w:t>留白原则</w:t>
      </w:r>
    </w:p>
    <w:p>
      <w:pPr>
        <w:numPr>
          <w:ilvl w:val="0"/>
          <w:numId w:val="4"/>
        </w:numPr>
        <w:spacing w:line="276" w:lineRule="auto"/>
        <w:ind w:left="601" w:hanging="284"/>
        <w:rPr>
          <w:rFonts w:hint="eastAsia" w:ascii="微软雅黑" w:hAnsi="微软雅黑" w:eastAsia="微软雅黑"/>
          <w:sz w:val="22"/>
        </w:rPr>
      </w:pPr>
      <w:r>
        <w:rPr>
          <w:rFonts w:hint="eastAsia" w:ascii="微软雅黑" w:hAnsi="微软雅黑" w:eastAsia="微软雅黑"/>
          <w:sz w:val="22"/>
        </w:rPr>
        <w:t>对比原则</w:t>
      </w:r>
    </w:p>
    <w:p>
      <w:pPr>
        <w:numPr>
          <w:ilvl w:val="0"/>
          <w:numId w:val="4"/>
        </w:numPr>
        <w:spacing w:line="276" w:lineRule="auto"/>
        <w:ind w:left="601" w:hanging="284"/>
        <w:rPr>
          <w:rFonts w:hint="eastAsia" w:ascii="微软雅黑" w:hAnsi="微软雅黑" w:eastAsia="微软雅黑"/>
          <w:sz w:val="22"/>
        </w:rPr>
      </w:pPr>
      <w:r>
        <w:rPr>
          <w:rFonts w:hint="eastAsia" w:ascii="微软雅黑" w:hAnsi="微软雅黑" w:eastAsia="微软雅黑"/>
          <w:sz w:val="22"/>
        </w:rPr>
        <w:t>重复原则</w:t>
      </w:r>
    </w:p>
    <w:p>
      <w:pPr>
        <w:numPr>
          <w:ilvl w:val="0"/>
          <w:numId w:val="4"/>
        </w:numPr>
        <w:spacing w:line="276" w:lineRule="auto"/>
        <w:ind w:left="601" w:hanging="284"/>
        <w:rPr>
          <w:rFonts w:hint="eastAsia" w:ascii="微软雅黑" w:hAnsi="微软雅黑" w:eastAsia="微软雅黑"/>
          <w:sz w:val="22"/>
        </w:rPr>
      </w:pPr>
      <w:r>
        <w:rPr>
          <w:rFonts w:hint="eastAsia" w:ascii="微软雅黑" w:hAnsi="微软雅黑" w:eastAsia="微软雅黑"/>
          <w:sz w:val="22"/>
        </w:rPr>
        <w:t>对齐原则</w:t>
      </w:r>
    </w:p>
    <w:p>
      <w:pPr>
        <w:numPr>
          <w:ilvl w:val="0"/>
          <w:numId w:val="4"/>
        </w:numPr>
        <w:spacing w:line="276" w:lineRule="auto"/>
        <w:ind w:left="601" w:hanging="284"/>
        <w:rPr>
          <w:rFonts w:hint="eastAsia"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2"/>
        </w:rPr>
        <w:t>就近原则</w:t>
      </w:r>
    </w:p>
    <w:p>
      <w:pPr>
        <w:spacing w:line="276" w:lineRule="auto"/>
        <w:rPr>
          <w:rFonts w:hint="eastAsia" w:ascii="微软雅黑" w:hAnsi="微软雅黑" w:eastAsia="微软雅黑"/>
          <w:b/>
          <w:sz w:val="22"/>
        </w:rPr>
      </w:pPr>
      <w:r>
        <w:rPr>
          <w:rFonts w:hint="eastAsia" w:ascii="微软雅黑" w:hAnsi="微软雅黑" w:eastAsia="微软雅黑"/>
          <w:b/>
          <w:sz w:val="22"/>
        </w:rPr>
        <w:t>四、完美呈现----课程讲授技巧</w:t>
      </w:r>
    </w:p>
    <w:p>
      <w:pPr>
        <w:tabs>
          <w:tab w:val="left" w:pos="2244"/>
        </w:tabs>
        <w:spacing w:line="276" w:lineRule="auto"/>
        <w:rPr>
          <w:rFonts w:hint="eastAsia" w:ascii="微软雅黑" w:hAnsi="微软雅黑" w:eastAsia="微软雅黑"/>
          <w:sz w:val="22"/>
        </w:rPr>
      </w:pPr>
      <w:r>
        <w:rPr>
          <w:rFonts w:hint="eastAsia" w:ascii="微软雅黑" w:hAnsi="微软雅黑" w:eastAsia="微软雅黑"/>
          <w:sz w:val="22"/>
        </w:rPr>
        <w:t>1、授课准备</w:t>
      </w:r>
    </w:p>
    <w:p>
      <w:pPr>
        <w:numPr>
          <w:ilvl w:val="0"/>
          <w:numId w:val="4"/>
        </w:numPr>
        <w:spacing w:line="276" w:lineRule="auto"/>
        <w:ind w:left="601" w:hanging="284"/>
        <w:rPr>
          <w:rFonts w:hint="eastAsia" w:ascii="微软雅黑" w:hAnsi="微软雅黑" w:eastAsia="微软雅黑"/>
          <w:sz w:val="22"/>
        </w:rPr>
      </w:pPr>
      <w:r>
        <w:rPr>
          <w:rFonts w:hint="eastAsia" w:ascii="微软雅黑" w:hAnsi="微软雅黑" w:eastAsia="微软雅黑"/>
          <w:sz w:val="22"/>
        </w:rPr>
        <w:t>培训内容准备</w:t>
      </w:r>
    </w:p>
    <w:p>
      <w:pPr>
        <w:numPr>
          <w:ilvl w:val="0"/>
          <w:numId w:val="4"/>
        </w:numPr>
        <w:spacing w:line="276" w:lineRule="auto"/>
        <w:ind w:left="601" w:hanging="284"/>
        <w:rPr>
          <w:rFonts w:hint="eastAsia" w:ascii="微软雅黑" w:hAnsi="微软雅黑" w:eastAsia="微软雅黑"/>
          <w:sz w:val="22"/>
        </w:rPr>
      </w:pPr>
      <w:r>
        <w:rPr>
          <w:rFonts w:hint="eastAsia" w:ascii="微软雅黑" w:hAnsi="微软雅黑" w:eastAsia="微软雅黑"/>
          <w:sz w:val="22"/>
        </w:rPr>
        <w:t>教学工具准备</w:t>
      </w:r>
    </w:p>
    <w:p>
      <w:pPr>
        <w:numPr>
          <w:ilvl w:val="0"/>
          <w:numId w:val="4"/>
        </w:numPr>
        <w:spacing w:line="276" w:lineRule="auto"/>
        <w:ind w:left="601" w:hanging="284"/>
        <w:rPr>
          <w:rFonts w:hint="eastAsia" w:ascii="微软雅黑" w:hAnsi="微软雅黑" w:eastAsia="微软雅黑"/>
          <w:sz w:val="22"/>
        </w:rPr>
      </w:pPr>
      <w:r>
        <w:rPr>
          <w:rFonts w:hint="eastAsia" w:ascii="微软雅黑" w:hAnsi="微软雅黑" w:eastAsia="微软雅黑"/>
          <w:sz w:val="22"/>
        </w:rPr>
        <w:t>人际关系准备</w:t>
      </w:r>
    </w:p>
    <w:p>
      <w:pPr>
        <w:numPr>
          <w:ilvl w:val="0"/>
          <w:numId w:val="4"/>
        </w:numPr>
        <w:spacing w:line="276" w:lineRule="auto"/>
        <w:ind w:left="601" w:hanging="284"/>
        <w:rPr>
          <w:rFonts w:hint="eastAsia" w:ascii="微软雅黑" w:hAnsi="微软雅黑" w:eastAsia="微软雅黑"/>
          <w:sz w:val="22"/>
        </w:rPr>
      </w:pPr>
      <w:r>
        <w:rPr>
          <w:rFonts w:hint="eastAsia" w:ascii="微软雅黑" w:hAnsi="微软雅黑" w:eastAsia="微软雅黑"/>
          <w:sz w:val="22"/>
        </w:rPr>
        <w:t>心理准备</w:t>
      </w:r>
    </w:p>
    <w:p>
      <w:pPr>
        <w:tabs>
          <w:tab w:val="left" w:pos="2244"/>
        </w:tabs>
        <w:spacing w:line="276" w:lineRule="auto"/>
        <w:rPr>
          <w:rFonts w:hint="eastAsia" w:ascii="微软雅黑" w:hAnsi="微软雅黑" w:eastAsia="微软雅黑"/>
          <w:sz w:val="22"/>
        </w:rPr>
      </w:pPr>
      <w:r>
        <w:rPr>
          <w:rFonts w:hint="eastAsia" w:ascii="微软雅黑" w:hAnsi="微软雅黑" w:eastAsia="微软雅黑"/>
          <w:sz w:val="22"/>
        </w:rPr>
        <w:t>2、授课基本要求</w:t>
      </w:r>
    </w:p>
    <w:p>
      <w:pPr>
        <w:numPr>
          <w:ilvl w:val="0"/>
          <w:numId w:val="4"/>
        </w:numPr>
        <w:spacing w:line="276" w:lineRule="auto"/>
        <w:ind w:left="601" w:hanging="284"/>
        <w:rPr>
          <w:rFonts w:hint="eastAsia" w:ascii="微软雅黑" w:hAnsi="微软雅黑" w:eastAsia="微软雅黑"/>
          <w:sz w:val="22"/>
        </w:rPr>
      </w:pPr>
      <w:r>
        <w:rPr>
          <w:rFonts w:hint="eastAsia" w:ascii="微软雅黑" w:hAnsi="微软雅黑" w:eastAsia="微软雅黑"/>
          <w:sz w:val="22"/>
        </w:rPr>
        <w:t>表情</w:t>
      </w:r>
    </w:p>
    <w:p>
      <w:pPr>
        <w:numPr>
          <w:ilvl w:val="0"/>
          <w:numId w:val="4"/>
        </w:numPr>
        <w:spacing w:line="276" w:lineRule="auto"/>
        <w:ind w:left="601" w:hanging="284"/>
        <w:rPr>
          <w:rFonts w:hint="eastAsia" w:ascii="微软雅黑" w:hAnsi="微软雅黑" w:eastAsia="微软雅黑"/>
          <w:sz w:val="22"/>
        </w:rPr>
      </w:pPr>
      <w:r>
        <w:rPr>
          <w:rFonts w:hint="eastAsia" w:ascii="微软雅黑" w:hAnsi="微软雅黑" w:eastAsia="微软雅黑"/>
          <w:sz w:val="22"/>
        </w:rPr>
        <w:t>姿体</w:t>
      </w:r>
    </w:p>
    <w:p>
      <w:pPr>
        <w:numPr>
          <w:ilvl w:val="0"/>
          <w:numId w:val="4"/>
        </w:numPr>
        <w:spacing w:line="276" w:lineRule="auto"/>
        <w:ind w:left="601" w:hanging="284"/>
        <w:rPr>
          <w:rFonts w:hint="eastAsia" w:ascii="微软雅黑" w:hAnsi="微软雅黑" w:eastAsia="微软雅黑"/>
          <w:sz w:val="22"/>
        </w:rPr>
      </w:pPr>
      <w:r>
        <w:rPr>
          <w:rFonts w:hint="eastAsia" w:ascii="微软雅黑" w:hAnsi="微软雅黑" w:eastAsia="微软雅黑"/>
          <w:sz w:val="22"/>
        </w:rPr>
        <w:t>语言</w:t>
      </w:r>
    </w:p>
    <w:p>
      <w:pPr>
        <w:tabs>
          <w:tab w:val="left" w:pos="2160"/>
        </w:tabs>
        <w:spacing w:line="276" w:lineRule="auto"/>
        <w:rPr>
          <w:rFonts w:hint="eastAsia" w:ascii="微软雅黑" w:hAnsi="微软雅黑" w:eastAsia="微软雅黑"/>
          <w:sz w:val="22"/>
        </w:rPr>
      </w:pPr>
      <w:r>
        <w:rPr>
          <w:rFonts w:hint="eastAsia" w:ascii="微软雅黑" w:hAnsi="微软雅黑" w:eastAsia="微软雅黑"/>
          <w:sz w:val="22"/>
        </w:rPr>
        <w:t xml:space="preserve">3、授课关键环节 </w:t>
      </w:r>
    </w:p>
    <w:p>
      <w:pPr>
        <w:numPr>
          <w:ilvl w:val="0"/>
          <w:numId w:val="4"/>
        </w:numPr>
        <w:spacing w:line="276" w:lineRule="auto"/>
        <w:ind w:left="601" w:hanging="284"/>
        <w:rPr>
          <w:rFonts w:hint="eastAsia" w:ascii="微软雅黑" w:hAnsi="微软雅黑" w:eastAsia="微软雅黑"/>
          <w:sz w:val="22"/>
        </w:rPr>
      </w:pPr>
      <w:r>
        <w:rPr>
          <w:rFonts w:hint="eastAsia" w:ascii="微软雅黑" w:hAnsi="微软雅黑" w:eastAsia="微软雅黑"/>
          <w:sz w:val="22"/>
        </w:rPr>
        <w:t>开场</w:t>
      </w:r>
    </w:p>
    <w:p>
      <w:pPr>
        <w:numPr>
          <w:ilvl w:val="0"/>
          <w:numId w:val="4"/>
        </w:numPr>
        <w:spacing w:line="276" w:lineRule="auto"/>
        <w:ind w:left="601" w:hanging="284"/>
        <w:rPr>
          <w:rFonts w:hint="eastAsia" w:ascii="微软雅黑" w:hAnsi="微软雅黑" w:eastAsia="微软雅黑"/>
          <w:sz w:val="22"/>
        </w:rPr>
      </w:pPr>
      <w:r>
        <w:rPr>
          <w:rFonts w:hint="eastAsia" w:ascii="微软雅黑" w:hAnsi="微软雅黑" w:eastAsia="微软雅黑"/>
          <w:sz w:val="22"/>
        </w:rPr>
        <w:t>结尾</w:t>
      </w:r>
    </w:p>
    <w:p>
      <w:pPr>
        <w:numPr>
          <w:ilvl w:val="0"/>
          <w:numId w:val="4"/>
        </w:numPr>
        <w:spacing w:line="276" w:lineRule="auto"/>
        <w:ind w:left="601" w:hanging="284"/>
        <w:rPr>
          <w:rFonts w:hint="eastAsia" w:ascii="微软雅黑" w:hAnsi="微软雅黑" w:eastAsia="微软雅黑"/>
          <w:sz w:val="22"/>
        </w:rPr>
      </w:pPr>
      <w:r>
        <w:rPr>
          <w:rFonts w:hint="eastAsia" w:ascii="微软雅黑" w:hAnsi="微软雅黑" w:eastAsia="微软雅黑"/>
          <w:sz w:val="22"/>
        </w:rPr>
        <w:t>课堂特殊情况处理</w:t>
      </w:r>
    </w:p>
    <w:p>
      <w:pPr>
        <w:numPr>
          <w:ilvl w:val="0"/>
          <w:numId w:val="7"/>
        </w:numPr>
        <w:spacing w:line="276" w:lineRule="auto"/>
        <w:rPr>
          <w:rFonts w:hint="eastAsia" w:ascii="微软雅黑" w:hAnsi="微软雅黑" w:eastAsia="微软雅黑"/>
          <w:sz w:val="22"/>
        </w:rPr>
      </w:pPr>
      <w:r>
        <w:rPr>
          <w:rFonts w:hint="eastAsia" w:ascii="微软雅黑" w:hAnsi="微软雅黑" w:eastAsia="微软雅黑"/>
          <w:sz w:val="22"/>
        </w:rPr>
        <w:t>学员授课练习及点评</w:t>
      </w:r>
    </w:p>
    <w:p>
      <w:pPr>
        <w:spacing w:line="276" w:lineRule="auto"/>
        <w:rPr>
          <w:rFonts w:hint="eastAsia" w:ascii="微软雅黑" w:hAnsi="微软雅黑" w:eastAsia="微软雅黑"/>
          <w:b/>
          <w:sz w:val="24"/>
          <w:szCs w:val="24"/>
        </w:rPr>
      </w:pPr>
      <w:r>
        <w:rPr>
          <w:rFonts w:hint="eastAsia" w:ascii="微软雅黑" w:hAnsi="微软雅黑" w:eastAsia="微软雅黑"/>
          <w:b/>
          <w:sz w:val="24"/>
          <w:szCs w:val="24"/>
        </w:rPr>
        <w:t>五、总结与评估</w:t>
      </w:r>
    </w:p>
    <w:p>
      <w:pPr>
        <w:numPr>
          <w:ilvl w:val="0"/>
          <w:numId w:val="8"/>
        </w:numPr>
        <w:spacing w:line="276" w:lineRule="auto"/>
        <w:rPr>
          <w:rFonts w:hint="eastAsia"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展示开发成果</w:t>
      </w:r>
    </w:p>
    <w:p>
      <w:pPr>
        <w:numPr>
          <w:ilvl w:val="0"/>
          <w:numId w:val="8"/>
        </w:numPr>
        <w:spacing w:line="276" w:lineRule="auto"/>
        <w:rPr>
          <w:rFonts w:hint="eastAsia"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评估成果</w:t>
      </w:r>
    </w:p>
    <w:p>
      <w:pPr>
        <w:numPr>
          <w:ilvl w:val="0"/>
          <w:numId w:val="8"/>
        </w:numPr>
        <w:spacing w:line="276" w:lineRule="auto"/>
        <w:rPr>
          <w:rFonts w:hint="eastAsia"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交流总结</w:t>
      </w:r>
    </w:p>
    <w:p>
      <w:pPr>
        <w:numPr>
          <w:ilvl w:val="0"/>
          <w:numId w:val="1"/>
        </w:numPr>
        <w:spacing w:line="276" w:lineRule="auto"/>
        <w:jc w:val="left"/>
        <w:rPr>
          <w:rFonts w:hint="eastAsia" w:ascii="微软雅黑" w:hAnsi="微软雅黑" w:eastAsia="微软雅黑"/>
          <w:b/>
          <w:color w:val="FF0000"/>
          <w:sz w:val="24"/>
          <w:szCs w:val="24"/>
        </w:rPr>
      </w:pPr>
      <w:r>
        <w:rPr>
          <w:rFonts w:hint="eastAsia" w:ascii="微软雅黑" w:hAnsi="微软雅黑" w:eastAsia="微软雅黑"/>
          <w:b/>
          <w:color w:val="FF0000"/>
          <w:sz w:val="24"/>
          <w:szCs w:val="24"/>
        </w:rPr>
        <w:t>课后辅导2天　</w:t>
      </w:r>
    </w:p>
    <w:p>
      <w:pPr>
        <w:numPr>
          <w:ilvl w:val="0"/>
          <w:numId w:val="9"/>
        </w:numPr>
        <w:spacing w:line="276" w:lineRule="auto"/>
        <w:rPr>
          <w:rFonts w:hint="eastAsia"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学员课后必须设计开发一门课程，在正式独立开发前，老师一对一辅导学员，帮助学员梳理拟开发课程的思路框架。</w:t>
      </w:r>
    </w:p>
    <w:p>
      <w:pPr>
        <w:numPr>
          <w:ilvl w:val="0"/>
          <w:numId w:val="9"/>
        </w:numPr>
        <w:spacing w:line="276" w:lineRule="auto"/>
        <w:rPr>
          <w:rFonts w:hint="eastAsia"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学员完整地开发一个课程的讲师手册、学员手册、PPT课件及相应的辅助资料。</w:t>
      </w:r>
    </w:p>
    <w:p>
      <w:pPr>
        <w:numPr>
          <w:ilvl w:val="0"/>
          <w:numId w:val="9"/>
        </w:numPr>
        <w:spacing w:line="276" w:lineRule="auto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学员完成全部初稿后，老师针对学员的初稿进行一对一的辅导并提出修改建议，学员根据老师的建议修订课件资料。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021" w:right="1134" w:bottom="1021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9D49B3"/>
    <w:multiLevelType w:val="multilevel"/>
    <w:tmpl w:val="129D49B3"/>
    <w:lvl w:ilvl="0" w:tentative="0">
      <w:start w:val="1"/>
      <w:numFmt w:val="bullet"/>
      <w:lvlText w:val="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1">
    <w:nsid w:val="139743DE"/>
    <w:multiLevelType w:val="multilevel"/>
    <w:tmpl w:val="139743DE"/>
    <w:lvl w:ilvl="0" w:tentative="0">
      <w:start w:val="1"/>
      <w:numFmt w:val="bullet"/>
      <w:lvlText w:val=""/>
      <w:lvlJc w:val="left"/>
      <w:pPr>
        <w:ind w:left="735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155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575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95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15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35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255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675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095" w:hanging="420"/>
      </w:pPr>
      <w:rPr>
        <w:rFonts w:hint="default" w:ascii="Wingdings" w:hAnsi="Wingdings"/>
      </w:rPr>
    </w:lvl>
  </w:abstractNum>
  <w:abstractNum w:abstractNumId="2">
    <w:nsid w:val="2E761D05"/>
    <w:multiLevelType w:val="multilevel"/>
    <w:tmpl w:val="2E761D05"/>
    <w:lvl w:ilvl="0" w:tentative="0">
      <w:start w:val="1"/>
      <w:numFmt w:val="japaneseCounting"/>
      <w:lvlText w:val="%1、"/>
      <w:lvlJc w:val="left"/>
      <w:pPr>
        <w:ind w:left="450" w:hanging="45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47CE7980"/>
    <w:multiLevelType w:val="multilevel"/>
    <w:tmpl w:val="47CE7980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4A30626F"/>
    <w:multiLevelType w:val="multilevel"/>
    <w:tmpl w:val="4A30626F"/>
    <w:lvl w:ilvl="0" w:tentative="0">
      <w:start w:val="1"/>
      <w:numFmt w:val="decimal"/>
      <w:lvlText w:val="%1)"/>
      <w:lvlJc w:val="left"/>
      <w:pPr>
        <w:ind w:left="1050" w:hanging="420"/>
      </w:pPr>
    </w:lvl>
    <w:lvl w:ilvl="1" w:tentative="0">
      <w:start w:val="1"/>
      <w:numFmt w:val="lowerLetter"/>
      <w:lvlText w:val="%2)"/>
      <w:lvlJc w:val="left"/>
      <w:pPr>
        <w:ind w:left="1470" w:hanging="420"/>
      </w:pPr>
    </w:lvl>
    <w:lvl w:ilvl="2" w:tentative="0">
      <w:start w:val="1"/>
      <w:numFmt w:val="lowerRoman"/>
      <w:lvlText w:val="%3."/>
      <w:lvlJc w:val="right"/>
      <w:pPr>
        <w:ind w:left="1890" w:hanging="420"/>
      </w:pPr>
    </w:lvl>
    <w:lvl w:ilvl="3" w:tentative="0">
      <w:start w:val="1"/>
      <w:numFmt w:val="decimal"/>
      <w:lvlText w:val="%4."/>
      <w:lvlJc w:val="left"/>
      <w:pPr>
        <w:ind w:left="2310" w:hanging="420"/>
      </w:pPr>
    </w:lvl>
    <w:lvl w:ilvl="4" w:tentative="0">
      <w:start w:val="1"/>
      <w:numFmt w:val="lowerLetter"/>
      <w:lvlText w:val="%5)"/>
      <w:lvlJc w:val="left"/>
      <w:pPr>
        <w:ind w:left="2730" w:hanging="420"/>
      </w:pPr>
    </w:lvl>
    <w:lvl w:ilvl="5" w:tentative="0">
      <w:start w:val="1"/>
      <w:numFmt w:val="lowerRoman"/>
      <w:lvlText w:val="%6."/>
      <w:lvlJc w:val="right"/>
      <w:pPr>
        <w:ind w:left="3150" w:hanging="420"/>
      </w:pPr>
    </w:lvl>
    <w:lvl w:ilvl="6" w:tentative="0">
      <w:start w:val="1"/>
      <w:numFmt w:val="decimal"/>
      <w:lvlText w:val="%7."/>
      <w:lvlJc w:val="left"/>
      <w:pPr>
        <w:ind w:left="3570" w:hanging="420"/>
      </w:pPr>
    </w:lvl>
    <w:lvl w:ilvl="7" w:tentative="0">
      <w:start w:val="1"/>
      <w:numFmt w:val="lowerLetter"/>
      <w:lvlText w:val="%8)"/>
      <w:lvlJc w:val="left"/>
      <w:pPr>
        <w:ind w:left="3990" w:hanging="420"/>
      </w:pPr>
    </w:lvl>
    <w:lvl w:ilvl="8" w:tentative="0">
      <w:start w:val="1"/>
      <w:numFmt w:val="lowerRoman"/>
      <w:lvlText w:val="%9."/>
      <w:lvlJc w:val="right"/>
      <w:pPr>
        <w:ind w:left="4410" w:hanging="420"/>
      </w:pPr>
    </w:lvl>
  </w:abstractNum>
  <w:abstractNum w:abstractNumId="5">
    <w:nsid w:val="582719A3"/>
    <w:multiLevelType w:val="multilevel"/>
    <w:tmpl w:val="582719A3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5DBC438E"/>
    <w:multiLevelType w:val="multilevel"/>
    <w:tmpl w:val="5DBC438E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655E0D93"/>
    <w:multiLevelType w:val="multilevel"/>
    <w:tmpl w:val="655E0D93"/>
    <w:lvl w:ilvl="0" w:tentative="0">
      <w:start w:val="1"/>
      <w:numFmt w:val="bullet"/>
      <w:lvlText w:val=""/>
      <w:lvlJc w:val="left"/>
      <w:pPr>
        <w:ind w:left="735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155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575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95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15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35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255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675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095" w:hanging="420"/>
      </w:pPr>
      <w:rPr>
        <w:rFonts w:hint="default" w:ascii="Wingdings" w:hAnsi="Wingdings"/>
      </w:rPr>
    </w:lvl>
  </w:abstractNum>
  <w:abstractNum w:abstractNumId="8">
    <w:nsid w:val="6BC37595"/>
    <w:multiLevelType w:val="multilevel"/>
    <w:tmpl w:val="6BC37595"/>
    <w:lvl w:ilvl="0" w:tentative="0">
      <w:start w:val="1"/>
      <w:numFmt w:val="bullet"/>
      <w:lvlText w:val=""/>
      <w:lvlJc w:val="left"/>
      <w:pPr>
        <w:ind w:left="735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155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575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95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15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35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255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675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095" w:hanging="420"/>
      </w:pPr>
      <w:rPr>
        <w:rFonts w:hint="default" w:ascii="Wingdings" w:hAnsi="Wingdings"/>
      </w:rPr>
    </w:lvl>
  </w:abstractNum>
  <w:num w:numId="1">
    <w:abstractNumId w:val="0"/>
  </w:num>
  <w:num w:numId="2">
    <w:abstractNumId w:val="2"/>
  </w:num>
  <w:num w:numId="3">
    <w:abstractNumId w:val="8"/>
  </w:num>
  <w:num w:numId="4">
    <w:abstractNumId w:val="1"/>
  </w:num>
  <w:num w:numId="5">
    <w:abstractNumId w:val="4"/>
  </w:num>
  <w:num w:numId="6">
    <w:abstractNumId w:val="7"/>
  </w:num>
  <w:num w:numId="7">
    <w:abstractNumId w:val="5"/>
  </w:num>
  <w:num w:numId="8">
    <w:abstractNumId w:val="6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9"/>
  <w:doNotDisplayPageBoundaries w:val="1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5246"/>
    <w:rsid w:val="00007E05"/>
    <w:rsid w:val="000172FD"/>
    <w:rsid w:val="00026D43"/>
    <w:rsid w:val="000452BE"/>
    <w:rsid w:val="000528A9"/>
    <w:rsid w:val="00053F32"/>
    <w:rsid w:val="00054A82"/>
    <w:rsid w:val="00061E07"/>
    <w:rsid w:val="00076B5F"/>
    <w:rsid w:val="00085DB4"/>
    <w:rsid w:val="000A0CF4"/>
    <w:rsid w:val="000A567E"/>
    <w:rsid w:val="000B2B36"/>
    <w:rsid w:val="000B7708"/>
    <w:rsid w:val="000C3433"/>
    <w:rsid w:val="000E54C3"/>
    <w:rsid w:val="00133B00"/>
    <w:rsid w:val="001401B4"/>
    <w:rsid w:val="00154608"/>
    <w:rsid w:val="001733E4"/>
    <w:rsid w:val="00177081"/>
    <w:rsid w:val="001A4D40"/>
    <w:rsid w:val="001A4E16"/>
    <w:rsid w:val="001B093A"/>
    <w:rsid w:val="001B14EC"/>
    <w:rsid w:val="001B22E8"/>
    <w:rsid w:val="001C74C9"/>
    <w:rsid w:val="001E12DA"/>
    <w:rsid w:val="00204397"/>
    <w:rsid w:val="00212285"/>
    <w:rsid w:val="00213E51"/>
    <w:rsid w:val="00225B29"/>
    <w:rsid w:val="002275E3"/>
    <w:rsid w:val="00233131"/>
    <w:rsid w:val="00237E6B"/>
    <w:rsid w:val="00261129"/>
    <w:rsid w:val="0026311B"/>
    <w:rsid w:val="002A0756"/>
    <w:rsid w:val="002A52D7"/>
    <w:rsid w:val="002D2F92"/>
    <w:rsid w:val="002D33C3"/>
    <w:rsid w:val="002D3571"/>
    <w:rsid w:val="002D6DDA"/>
    <w:rsid w:val="002E535D"/>
    <w:rsid w:val="0030009E"/>
    <w:rsid w:val="00314D3D"/>
    <w:rsid w:val="00315D24"/>
    <w:rsid w:val="003179AB"/>
    <w:rsid w:val="00346CD5"/>
    <w:rsid w:val="00361F05"/>
    <w:rsid w:val="00386579"/>
    <w:rsid w:val="003905E2"/>
    <w:rsid w:val="00395E99"/>
    <w:rsid w:val="003A1A04"/>
    <w:rsid w:val="003A236B"/>
    <w:rsid w:val="003C71FB"/>
    <w:rsid w:val="003D1DFD"/>
    <w:rsid w:val="003D61E1"/>
    <w:rsid w:val="003F2424"/>
    <w:rsid w:val="004028E2"/>
    <w:rsid w:val="00414D7B"/>
    <w:rsid w:val="00423101"/>
    <w:rsid w:val="004231ED"/>
    <w:rsid w:val="00427A7C"/>
    <w:rsid w:val="00473E26"/>
    <w:rsid w:val="004753BB"/>
    <w:rsid w:val="0047641F"/>
    <w:rsid w:val="00494A39"/>
    <w:rsid w:val="004A2ED2"/>
    <w:rsid w:val="004A3CA6"/>
    <w:rsid w:val="004A60BC"/>
    <w:rsid w:val="004B0C92"/>
    <w:rsid w:val="004B50AE"/>
    <w:rsid w:val="004B796D"/>
    <w:rsid w:val="004C2742"/>
    <w:rsid w:val="004D70DD"/>
    <w:rsid w:val="004F0A2E"/>
    <w:rsid w:val="004F7CB0"/>
    <w:rsid w:val="00526305"/>
    <w:rsid w:val="00535C2B"/>
    <w:rsid w:val="0053696B"/>
    <w:rsid w:val="00540F22"/>
    <w:rsid w:val="0055030C"/>
    <w:rsid w:val="00551D6B"/>
    <w:rsid w:val="005629A1"/>
    <w:rsid w:val="00576475"/>
    <w:rsid w:val="0058780D"/>
    <w:rsid w:val="005A1F8D"/>
    <w:rsid w:val="005C7171"/>
    <w:rsid w:val="005D0043"/>
    <w:rsid w:val="005D0528"/>
    <w:rsid w:val="005D196E"/>
    <w:rsid w:val="005D72FA"/>
    <w:rsid w:val="005F1EB3"/>
    <w:rsid w:val="005F2B61"/>
    <w:rsid w:val="005F4211"/>
    <w:rsid w:val="00601FF1"/>
    <w:rsid w:val="00604B1E"/>
    <w:rsid w:val="00604EC2"/>
    <w:rsid w:val="00611368"/>
    <w:rsid w:val="00615D60"/>
    <w:rsid w:val="0061723D"/>
    <w:rsid w:val="00627701"/>
    <w:rsid w:val="006429C6"/>
    <w:rsid w:val="00651784"/>
    <w:rsid w:val="00657D86"/>
    <w:rsid w:val="006651A3"/>
    <w:rsid w:val="0066697B"/>
    <w:rsid w:val="007071D9"/>
    <w:rsid w:val="00717770"/>
    <w:rsid w:val="007241F9"/>
    <w:rsid w:val="00734193"/>
    <w:rsid w:val="00742747"/>
    <w:rsid w:val="0074505E"/>
    <w:rsid w:val="00761634"/>
    <w:rsid w:val="007623A7"/>
    <w:rsid w:val="00771E65"/>
    <w:rsid w:val="0077235F"/>
    <w:rsid w:val="00786FD9"/>
    <w:rsid w:val="00791E7B"/>
    <w:rsid w:val="00792626"/>
    <w:rsid w:val="007957BF"/>
    <w:rsid w:val="007A4F05"/>
    <w:rsid w:val="007B3E54"/>
    <w:rsid w:val="007B6929"/>
    <w:rsid w:val="007C266B"/>
    <w:rsid w:val="007D3F6B"/>
    <w:rsid w:val="007E35C2"/>
    <w:rsid w:val="007F3DB1"/>
    <w:rsid w:val="007F7EC1"/>
    <w:rsid w:val="00803D86"/>
    <w:rsid w:val="0081237E"/>
    <w:rsid w:val="00835A12"/>
    <w:rsid w:val="008403EE"/>
    <w:rsid w:val="00852022"/>
    <w:rsid w:val="00860245"/>
    <w:rsid w:val="00861823"/>
    <w:rsid w:val="00866F03"/>
    <w:rsid w:val="00867D28"/>
    <w:rsid w:val="00867F55"/>
    <w:rsid w:val="00883836"/>
    <w:rsid w:val="0088426E"/>
    <w:rsid w:val="00895AFE"/>
    <w:rsid w:val="008B65F1"/>
    <w:rsid w:val="008C058F"/>
    <w:rsid w:val="008C278A"/>
    <w:rsid w:val="008C581C"/>
    <w:rsid w:val="008D56A6"/>
    <w:rsid w:val="008E57D3"/>
    <w:rsid w:val="008F0B1A"/>
    <w:rsid w:val="008F29BC"/>
    <w:rsid w:val="008F6495"/>
    <w:rsid w:val="00902CFA"/>
    <w:rsid w:val="00904AD9"/>
    <w:rsid w:val="00916979"/>
    <w:rsid w:val="00933040"/>
    <w:rsid w:val="00943A93"/>
    <w:rsid w:val="009552CC"/>
    <w:rsid w:val="00955E6C"/>
    <w:rsid w:val="009803D7"/>
    <w:rsid w:val="00986FBC"/>
    <w:rsid w:val="00987394"/>
    <w:rsid w:val="00997E7E"/>
    <w:rsid w:val="009B6F60"/>
    <w:rsid w:val="009C5246"/>
    <w:rsid w:val="00A31ADA"/>
    <w:rsid w:val="00A35C9F"/>
    <w:rsid w:val="00A42694"/>
    <w:rsid w:val="00A46D47"/>
    <w:rsid w:val="00A57633"/>
    <w:rsid w:val="00A71092"/>
    <w:rsid w:val="00A8604F"/>
    <w:rsid w:val="00A93220"/>
    <w:rsid w:val="00A9539E"/>
    <w:rsid w:val="00AA6B56"/>
    <w:rsid w:val="00AC3266"/>
    <w:rsid w:val="00AC6A7E"/>
    <w:rsid w:val="00AD5179"/>
    <w:rsid w:val="00AD5728"/>
    <w:rsid w:val="00AF0BB0"/>
    <w:rsid w:val="00AF1F29"/>
    <w:rsid w:val="00AF6843"/>
    <w:rsid w:val="00B1603D"/>
    <w:rsid w:val="00B40C9F"/>
    <w:rsid w:val="00B42CFD"/>
    <w:rsid w:val="00B63384"/>
    <w:rsid w:val="00B65268"/>
    <w:rsid w:val="00B70282"/>
    <w:rsid w:val="00B87EF0"/>
    <w:rsid w:val="00B94A5C"/>
    <w:rsid w:val="00BA1694"/>
    <w:rsid w:val="00BB51BA"/>
    <w:rsid w:val="00BD40CB"/>
    <w:rsid w:val="00BE2DDC"/>
    <w:rsid w:val="00C035C1"/>
    <w:rsid w:val="00C03D9D"/>
    <w:rsid w:val="00C471F5"/>
    <w:rsid w:val="00C50454"/>
    <w:rsid w:val="00C519C0"/>
    <w:rsid w:val="00C625E0"/>
    <w:rsid w:val="00C64D7E"/>
    <w:rsid w:val="00C773DB"/>
    <w:rsid w:val="00CA4C9F"/>
    <w:rsid w:val="00CA57D9"/>
    <w:rsid w:val="00D059B1"/>
    <w:rsid w:val="00D204AF"/>
    <w:rsid w:val="00D22CDE"/>
    <w:rsid w:val="00D40FD4"/>
    <w:rsid w:val="00D52AD5"/>
    <w:rsid w:val="00D60ABF"/>
    <w:rsid w:val="00D7490F"/>
    <w:rsid w:val="00DA2797"/>
    <w:rsid w:val="00DA3A0C"/>
    <w:rsid w:val="00DA5810"/>
    <w:rsid w:val="00DC10E1"/>
    <w:rsid w:val="00DC35F1"/>
    <w:rsid w:val="00DD5CC0"/>
    <w:rsid w:val="00DE0716"/>
    <w:rsid w:val="00DE6E62"/>
    <w:rsid w:val="00DF05E2"/>
    <w:rsid w:val="00DF4650"/>
    <w:rsid w:val="00E01466"/>
    <w:rsid w:val="00E24BD7"/>
    <w:rsid w:val="00E37DCB"/>
    <w:rsid w:val="00E42777"/>
    <w:rsid w:val="00E45FD1"/>
    <w:rsid w:val="00E55388"/>
    <w:rsid w:val="00E602F3"/>
    <w:rsid w:val="00E65D9C"/>
    <w:rsid w:val="00E84B47"/>
    <w:rsid w:val="00E96D82"/>
    <w:rsid w:val="00EA3CA4"/>
    <w:rsid w:val="00EB6E07"/>
    <w:rsid w:val="00EC4E89"/>
    <w:rsid w:val="00EF65F3"/>
    <w:rsid w:val="00F35EAF"/>
    <w:rsid w:val="00F40F4E"/>
    <w:rsid w:val="00F4322D"/>
    <w:rsid w:val="00F5056F"/>
    <w:rsid w:val="00F60B2D"/>
    <w:rsid w:val="00F64441"/>
    <w:rsid w:val="00F67317"/>
    <w:rsid w:val="00F71DF8"/>
    <w:rsid w:val="00F8510A"/>
    <w:rsid w:val="00FA364B"/>
    <w:rsid w:val="00FA5C0E"/>
    <w:rsid w:val="00FB59E3"/>
    <w:rsid w:val="00FC788E"/>
    <w:rsid w:val="00FE01B5"/>
    <w:rsid w:val="00FE0BE6"/>
    <w:rsid w:val="00FE2D1E"/>
    <w:rsid w:val="00FE79F5"/>
    <w:rsid w:val="00FF681D"/>
    <w:rsid w:val="00FF6EA9"/>
    <w:rsid w:val="5E3564C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4">
    <w:name w:val="Normal Table"/>
    <w:semiHidden/>
    <w:unhideWhenUsed/>
    <w:qFormat/>
    <w:uiPriority w:val="99"/>
    <w:tblPr>
      <w:tblStyle w:val="4"/>
      <w:tblCellMar>
        <w:top w:w="0" w:type="dxa"/>
        <w:left w:w="108" w:type="dxa"/>
        <w:bottom w:w="0" w:type="dxa"/>
        <w:right w:w="108" w:type="dxa"/>
      </w:tblCellMar>
    </w:tblPr>
    <w:trPr>
      <w:wBefore w:w="0" w:type="dxa"/>
    </w:tr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59"/>
    <w:tblPr>
      <w:tblStyle w:val="4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character" w:customStyle="1" w:styleId="7">
    <w:name w:val="页眉 Char"/>
    <w:link w:val="3"/>
    <w:uiPriority w:val="99"/>
    <w:rPr>
      <w:sz w:val="18"/>
      <w:szCs w:val="18"/>
    </w:rPr>
  </w:style>
  <w:style w:type="character" w:customStyle="1" w:styleId="8">
    <w:name w:val="页脚 Char"/>
    <w:link w:val="2"/>
    <w:uiPriority w:val="99"/>
    <w:rPr>
      <w:sz w:val="18"/>
      <w:szCs w:val="18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  <w:style w:type="character" w:customStyle="1" w:styleId="10">
    <w:name w:val="页脚 字符1"/>
    <w:semiHidden/>
    <w:locked/>
    <w:uiPriority w:val="99"/>
    <w:rPr>
      <w:rFonts w:ascii="Times New Roman" w:hAnsi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image" Target="media/image1.emf"/><Relationship Id="rId10" Type="http://schemas.openxmlformats.org/officeDocument/2006/relationships/oleObject" Target="embeddings/oleObject1.bin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微软(中国)公司</Company>
  <Pages>8</Pages>
  <Words>362</Words>
  <Characters>2069</Characters>
  <Lines>17</Lines>
  <Paragraphs>4</Paragraphs>
  <TotalTime>0</TotalTime>
  <ScaleCrop>false</ScaleCrop>
  <LinksUpToDate>false</LinksUpToDate>
  <CharactersWithSpaces>2427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2015-05-25T06:03:00Z</dcterms:created>
  <dc:creator>HU</dc:creator>
  <cp:lastModifiedBy>蓉儿</cp:lastModifiedBy>
  <dcterms:modified xsi:type="dcterms:W3CDTF">2023-10-11T07:08:11Z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5BD0C98B6E694DBFB095C12AA1A95E93_13</vt:lpwstr>
  </property>
</Properties>
</file>