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Times New Roman"/>
          <w:b/>
          <w:sz w:val="32"/>
        </w:rPr>
      </w:pPr>
      <w:r>
        <w:rPr>
          <w:rFonts w:hint="eastAsia" w:ascii="微软雅黑" w:hAnsi="微软雅黑" w:eastAsia="微软雅黑" w:cs="Times New Roman"/>
          <w:b/>
          <w:sz w:val="32"/>
        </w:rPr>
        <w:t>聚</w:t>
      </w:r>
      <w:r>
        <w:rPr>
          <w:rFonts w:hint="eastAsia" w:ascii="微软雅黑" w:hAnsi="微软雅黑" w:eastAsia="微软雅黑" w:cs="Times New Roman"/>
          <w:b/>
          <w:color w:val="FF0000"/>
          <w:sz w:val="32"/>
        </w:rPr>
        <w:t>力</w:t>
      </w:r>
      <w:r>
        <w:rPr>
          <w:rFonts w:hint="eastAsia" w:ascii="微软雅黑" w:hAnsi="微软雅黑" w:eastAsia="微软雅黑" w:cs="Times New Roman"/>
          <w:b/>
          <w:sz w:val="32"/>
        </w:rPr>
        <w:t>执行：高效的团队融合与业绩突破沙盘</w:t>
      </w:r>
    </w:p>
    <w:p>
      <w:pPr>
        <w:spacing w:line="400" w:lineRule="exact"/>
        <w:jc w:val="both"/>
        <w:rPr>
          <w:rFonts w:ascii="微软雅黑" w:hAnsi="微软雅黑" w:eastAsia="微软雅黑"/>
        </w:rPr>
      </w:pPr>
      <w:bookmarkStart w:id="0" w:name="_GoBack"/>
      <w:bookmarkEnd w:id="0"/>
    </w:p>
    <w:p>
      <w:pPr>
        <w:spacing w:line="400" w:lineRule="exact"/>
        <w:jc w:val="center"/>
        <w:rPr>
          <w:rFonts w:ascii="微软雅黑" w:hAnsi="微软雅黑" w:eastAsia="微软雅黑" w:cs="Times New Roman"/>
          <w:b/>
        </w:rPr>
      </w:pPr>
    </w:p>
    <w:p>
      <w:pPr>
        <w:spacing w:line="400" w:lineRule="exact"/>
        <w:rPr>
          <w:rFonts w:ascii="微软雅黑" w:hAnsi="微软雅黑" w:eastAsia="微软雅黑" w:cs="Times New Roman"/>
          <w:b/>
        </w:rPr>
      </w:pPr>
      <w:r>
        <w:rPr>
          <w:rFonts w:hint="eastAsia" w:ascii="微软雅黑" w:hAnsi="微软雅黑" w:eastAsia="微软雅黑" w:cs="Times New Roman"/>
          <w:b/>
        </w:rPr>
        <w:t>一、本沙盘适用课程主题：</w:t>
      </w:r>
    </w:p>
    <w:p>
      <w:pPr>
        <w:spacing w:line="400" w:lineRule="exact"/>
        <w:rPr>
          <w:rFonts w:ascii="微软雅黑" w:hAnsi="微软雅黑" w:eastAsia="微软雅黑" w:cs="Times New Roman"/>
        </w:rPr>
      </w:pPr>
      <w:r>
        <w:rPr>
          <w:rFonts w:hint="eastAsia" w:ascii="微软雅黑" w:hAnsi="微软雅黑" w:eastAsia="微软雅黑" w:cs="Times New Roman"/>
        </w:rPr>
        <w:t>角色定位、团队分工、基于绩效的创新思维、突破瓶颈、提升业绩</w:t>
      </w:r>
    </w:p>
    <w:p>
      <w:pPr>
        <w:spacing w:line="400" w:lineRule="exact"/>
        <w:ind w:firstLine="420"/>
        <w:jc w:val="center"/>
        <w:rPr>
          <w:rFonts w:ascii="微软雅黑" w:hAnsi="微软雅黑" w:eastAsia="微软雅黑" w:cs="Times New Roman"/>
        </w:rPr>
      </w:pPr>
      <w:r>
        <w:rPr>
          <w:rFonts w:hint="eastAsia" w:ascii="微软雅黑" w:hAnsi="微软雅黑" w:eastAsia="微软雅黑" w:cs="Times New Roman"/>
        </w:rPr>
        <w:drawing>
          <wp:anchor distT="0" distB="0" distL="114300" distR="114300" simplePos="0" relativeHeight="251675648" behindDoc="0" locked="0" layoutInCell="1" allowOverlap="1">
            <wp:simplePos x="0" y="0"/>
            <wp:positionH relativeFrom="column">
              <wp:posOffset>468630</wp:posOffset>
            </wp:positionH>
            <wp:positionV relativeFrom="paragraph">
              <wp:posOffset>149860</wp:posOffset>
            </wp:positionV>
            <wp:extent cx="4575810" cy="1714500"/>
            <wp:effectExtent l="0" t="0" r="15240" b="0"/>
            <wp:wrapNone/>
            <wp:docPr id="11" name="图片 0" descr="1497892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0" descr="149789203.jpg"/>
                    <pic:cNvPicPr>
                      <a:picLocks noChangeAspect="1"/>
                    </pic:cNvPicPr>
                  </pic:nvPicPr>
                  <pic:blipFill>
                    <a:blip r:embed="rId4" cstate="email"/>
                    <a:stretch>
                      <a:fillRect/>
                    </a:stretch>
                  </pic:blipFill>
                  <pic:spPr>
                    <a:xfrm>
                      <a:off x="0" y="0"/>
                      <a:ext cx="4575810" cy="1714500"/>
                    </a:xfrm>
                    <a:prstGeom prst="rect">
                      <a:avLst/>
                    </a:prstGeom>
                  </pic:spPr>
                </pic:pic>
              </a:graphicData>
            </a:graphic>
          </wp:anchor>
        </w:drawing>
      </w:r>
    </w:p>
    <w:p>
      <w:pPr>
        <w:spacing w:line="400" w:lineRule="exact"/>
        <w:ind w:firstLine="420"/>
        <w:jc w:val="center"/>
        <w:rPr>
          <w:rFonts w:ascii="微软雅黑" w:hAnsi="微软雅黑" w:eastAsia="微软雅黑" w:cs="Times New Roman"/>
        </w:rPr>
      </w:pPr>
    </w:p>
    <w:p>
      <w:pPr>
        <w:spacing w:line="400" w:lineRule="exact"/>
        <w:ind w:firstLine="420"/>
        <w:rPr>
          <w:rFonts w:ascii="微软雅黑" w:hAnsi="微软雅黑" w:eastAsia="微软雅黑" w:cs="Times New Roman"/>
        </w:rPr>
      </w:pPr>
    </w:p>
    <w:p>
      <w:pPr>
        <w:spacing w:line="400" w:lineRule="exact"/>
        <w:ind w:firstLine="420"/>
        <w:rPr>
          <w:rFonts w:ascii="微软雅黑" w:hAnsi="微软雅黑" w:eastAsia="微软雅黑" w:cs="Times New Roman"/>
        </w:rPr>
      </w:pPr>
    </w:p>
    <w:p>
      <w:pPr>
        <w:spacing w:line="400" w:lineRule="exact"/>
        <w:ind w:firstLine="420"/>
        <w:rPr>
          <w:rFonts w:ascii="微软雅黑" w:hAnsi="微软雅黑" w:eastAsia="微软雅黑" w:cs="Times New Roman"/>
        </w:rPr>
      </w:pPr>
    </w:p>
    <w:p>
      <w:pPr>
        <w:spacing w:line="400" w:lineRule="exact"/>
        <w:ind w:firstLine="420"/>
        <w:rPr>
          <w:rFonts w:ascii="微软雅黑" w:hAnsi="微软雅黑" w:eastAsia="微软雅黑" w:cs="Times New Roman"/>
        </w:rPr>
      </w:pPr>
    </w:p>
    <w:p>
      <w:pPr>
        <w:spacing w:line="400" w:lineRule="exact"/>
        <w:ind w:firstLine="420"/>
        <w:rPr>
          <w:rFonts w:ascii="微软雅黑" w:hAnsi="微软雅黑" w:eastAsia="微软雅黑" w:cs="Times New Roman"/>
        </w:rPr>
      </w:pPr>
    </w:p>
    <w:p>
      <w:pPr>
        <w:spacing w:line="400" w:lineRule="exact"/>
        <w:ind w:firstLine="420"/>
        <w:rPr>
          <w:rFonts w:ascii="微软雅黑" w:hAnsi="微软雅黑" w:eastAsia="微软雅黑" w:cs="Times New Roman"/>
        </w:rPr>
      </w:pPr>
    </w:p>
    <w:p>
      <w:pPr>
        <w:spacing w:line="400" w:lineRule="exact"/>
        <w:rPr>
          <w:rFonts w:ascii="微软雅黑" w:hAnsi="微软雅黑" w:eastAsia="微软雅黑" w:cs="Times New Roman"/>
          <w:b/>
        </w:rPr>
      </w:pPr>
      <w:r>
        <w:rPr>
          <w:rFonts w:hint="eastAsia" w:ascii="微软雅黑" w:hAnsi="微软雅黑" w:eastAsia="微软雅黑" w:cs="Times New Roman"/>
          <w:b/>
        </w:rPr>
        <w:t>二、沙盘推演背景与系统介绍</w:t>
      </w:r>
    </w:p>
    <w:p>
      <w:pPr>
        <w:spacing w:line="400" w:lineRule="exact"/>
        <w:rPr>
          <w:rFonts w:ascii="微软雅黑" w:hAnsi="微软雅黑" w:eastAsia="微软雅黑"/>
        </w:rPr>
      </w:pPr>
      <w:r>
        <w:rPr>
          <w:rFonts w:ascii="微软雅黑" w:hAnsi="微软雅黑" w:eastAsia="微软雅黑" w:cs="Times New Roman"/>
        </w:rPr>
        <w:tab/>
      </w:r>
      <w:r>
        <w:rPr>
          <w:rFonts w:ascii="微软雅黑" w:hAnsi="微软雅黑" w:eastAsia="微软雅黑" w:cs="Times New Roman"/>
        </w:rPr>
        <w:t>明确自己在公司中的定位，</w:t>
      </w:r>
      <w:r>
        <w:rPr>
          <w:rFonts w:hint="eastAsia" w:ascii="微软雅黑" w:hAnsi="微软雅黑" w:eastAsia="微软雅黑"/>
        </w:rPr>
        <w:t>不仅仅是为了维持同事间的关系，而更是商业社会中不可或缺的关键部分。这场高度仿真沙盘将通过角色转换的方式，让各位管理者通过换位思考的方式来了解如何建立起高效的团队融合，通过及时沟通和密切配合进而实现企业效益提升。</w:t>
      </w:r>
    </w:p>
    <w:p>
      <w:pPr>
        <w:spacing w:line="400" w:lineRule="exact"/>
        <w:rPr>
          <w:rFonts w:ascii="微软雅黑" w:hAnsi="微软雅黑" w:eastAsia="微软雅黑"/>
        </w:rPr>
      </w:pPr>
    </w:p>
    <w:p>
      <w:pPr>
        <w:spacing w:line="400" w:lineRule="exact"/>
        <w:ind w:firstLine="420"/>
        <w:rPr>
          <w:rFonts w:ascii="微软雅黑" w:hAnsi="微软雅黑" w:eastAsia="微软雅黑"/>
        </w:rPr>
      </w:pPr>
      <w:r>
        <w:rPr>
          <w:rFonts w:hint="eastAsia" w:ascii="微软雅黑" w:hAnsi="微软雅黑" w:eastAsia="微软雅黑"/>
        </w:rPr>
        <w:t>现代企业因为业务的复杂必须分工明确，各个职能部门因此而生。长期负责一个职能部门的员工往往失去对全局的兴趣，更谈不上对全局的把握能力；他们更容易狭隘地关注个体的利益和目标达成，而忽略了与他人的配合。这些局部利益导向的思维方式和狭隘的经营视角必然造成企业的赢利无法令人满意。现代企业人必须有全局观，才能制定符合公司和集体发展的目标，进而通过有效的执行来实现自我成长，与团队上下游专业地合作，最终为公司赢得利润。</w:t>
      </w:r>
    </w:p>
    <w:p>
      <w:pPr>
        <w:spacing w:line="400" w:lineRule="exact"/>
        <w:ind w:firstLine="420"/>
        <w:rPr>
          <w:rFonts w:ascii="微软雅黑" w:hAnsi="微软雅黑" w:eastAsia="微软雅黑"/>
        </w:rPr>
      </w:pPr>
    </w:p>
    <w:p>
      <w:pPr>
        <w:widowControl/>
        <w:spacing w:line="400" w:lineRule="exact"/>
        <w:ind w:firstLine="420"/>
        <w:jc w:val="left"/>
        <w:rPr>
          <w:rFonts w:ascii="微软雅黑" w:hAnsi="微软雅黑" w:eastAsia="微软雅黑"/>
        </w:rPr>
      </w:pPr>
      <w:r>
        <w:rPr>
          <w:rFonts w:hint="eastAsia" w:ascii="微软雅黑" w:hAnsi="微软雅黑" w:eastAsia="微软雅黑"/>
        </w:rPr>
        <w:t>企业的绩效数据无疑能够为团队成员找到一个通用的沟通语言。在这场沙盘推演中，每6名学员将负责经营一家位于激烈竞争市场当中的企业，每位学员都将扮演不同关键岗位的主管（例如运营、财务、采购、市场、销售、设计等），每个主管都有自己的关键业绩指标。各位学员的任务是在达成各自的关键业绩指标的同时，还要确保公司顺利盈利。在一个简化的企业运营中理解部门与部门之间的关系以及组织中的整体关系，从宏观角度来整体分析和解决效率问题。</w:t>
      </w:r>
      <w:r>
        <w:rPr>
          <w:rFonts w:ascii="微软雅黑" w:hAnsi="微软雅黑" w:eastAsia="微软雅黑"/>
        </w:rPr>
        <w:br w:type="page"/>
      </w:r>
    </w:p>
    <w:p>
      <w:pPr>
        <w:spacing w:line="400" w:lineRule="exact"/>
        <w:rPr>
          <w:rFonts w:ascii="微软雅黑" w:hAnsi="微软雅黑" w:eastAsia="微软雅黑" w:cs="Times New Roman"/>
          <w:b/>
        </w:rPr>
      </w:pPr>
      <w:r>
        <w:rPr>
          <w:rFonts w:hint="eastAsia" w:ascii="微软雅黑" w:hAnsi="微软雅黑" w:eastAsia="微软雅黑" w:cs="Times New Roman"/>
          <w:b/>
        </w:rPr>
        <w:t>三、课程收益</w:t>
      </w:r>
    </w:p>
    <w:p>
      <w:pPr>
        <w:pStyle w:val="5"/>
        <w:numPr>
          <w:ilvl w:val="0"/>
          <w:numId w:val="1"/>
        </w:numPr>
        <w:spacing w:line="400" w:lineRule="exact"/>
        <w:ind w:firstLineChars="0"/>
        <w:rPr>
          <w:rFonts w:ascii="微软雅黑" w:hAnsi="微软雅黑" w:eastAsia="微软雅黑" w:cs="Times New Roman"/>
          <w:b/>
        </w:rPr>
      </w:pPr>
      <w:r>
        <w:rPr>
          <w:rFonts w:hint="eastAsia" w:ascii="微软雅黑" w:hAnsi="微软雅黑" w:eastAsia="微软雅黑"/>
        </w:rPr>
        <w:t>建立跨部门沟通的通用语言——用数据来明确目标，提升学员关注结果的经营思维方式,通过展示经营的全貌，直观地揭示企业内部和外部各种经济要素的内在关联，使得身处不同部门的人员为同一目标努力。</w:t>
      </w:r>
    </w:p>
    <w:p>
      <w:pPr>
        <w:pStyle w:val="5"/>
        <w:numPr>
          <w:ilvl w:val="0"/>
          <w:numId w:val="1"/>
        </w:numPr>
        <w:spacing w:line="400" w:lineRule="exact"/>
        <w:ind w:firstLineChars="0"/>
        <w:rPr>
          <w:rFonts w:ascii="微软雅黑" w:hAnsi="微软雅黑" w:eastAsia="微软雅黑" w:cs="Times New Roman"/>
          <w:b/>
        </w:rPr>
      </w:pPr>
      <w:r>
        <w:rPr>
          <w:rFonts w:ascii="微软雅黑" w:hAnsi="微软雅黑" w:eastAsia="微软雅黑"/>
        </w:rPr>
        <w:t>在公司目标的前提下，为自己的制定</w:t>
      </w:r>
      <w:r>
        <w:rPr>
          <w:rFonts w:hint="eastAsia" w:ascii="微软雅黑" w:hAnsi="微软雅黑" w:eastAsia="微软雅黑"/>
        </w:rPr>
        <w:t>SMART目标，并配合GROW模型确保顺利执行。</w:t>
      </w:r>
    </w:p>
    <w:p>
      <w:pPr>
        <w:pStyle w:val="5"/>
        <w:numPr>
          <w:ilvl w:val="0"/>
          <w:numId w:val="1"/>
        </w:numPr>
        <w:spacing w:line="400" w:lineRule="exact"/>
        <w:ind w:firstLineChars="0"/>
        <w:rPr>
          <w:rFonts w:ascii="微软雅黑" w:hAnsi="微软雅黑" w:eastAsia="微软雅黑" w:cs="Times New Roman"/>
          <w:b/>
        </w:rPr>
      </w:pPr>
      <w:r>
        <w:rPr>
          <w:rFonts w:hint="eastAsia" w:ascii="微软雅黑" w:hAnsi="微软雅黑" w:eastAsia="微软雅黑"/>
        </w:rPr>
        <w:t>帮助学员了解组织变革的内在动因、分权与授权的意义以及跨部门交流的必要性。</w:t>
      </w:r>
    </w:p>
    <w:p>
      <w:pPr>
        <w:pStyle w:val="5"/>
        <w:numPr>
          <w:ilvl w:val="0"/>
          <w:numId w:val="1"/>
        </w:numPr>
        <w:spacing w:line="400" w:lineRule="exact"/>
        <w:ind w:firstLineChars="0"/>
        <w:rPr>
          <w:rFonts w:ascii="微软雅黑" w:hAnsi="微软雅黑" w:eastAsia="微软雅黑" w:cs="Times New Roman"/>
          <w:b/>
        </w:rPr>
      </w:pPr>
      <w:r>
        <w:rPr>
          <w:rFonts w:hint="eastAsia" w:ascii="微软雅黑" w:hAnsi="微软雅黑" w:eastAsia="微软雅黑"/>
        </w:rPr>
        <w:t>站在各个部门角度换位思考。通过对经营本质的了解，学员们将站在更高的高度来看待自己的岗位，通过增强跨部门沟通，保证公司战略的执行。</w:t>
      </w:r>
    </w:p>
    <w:p>
      <w:pPr>
        <w:pStyle w:val="5"/>
        <w:numPr>
          <w:ilvl w:val="0"/>
          <w:numId w:val="1"/>
        </w:numPr>
        <w:spacing w:line="400" w:lineRule="exact"/>
        <w:ind w:firstLineChars="0"/>
        <w:rPr>
          <w:rFonts w:ascii="微软雅黑" w:hAnsi="微软雅黑" w:eastAsia="微软雅黑" w:cs="Times New Roman"/>
          <w:b/>
        </w:rPr>
      </w:pPr>
      <w:r>
        <w:rPr>
          <w:rFonts w:hint="eastAsia" w:ascii="微软雅黑" w:hAnsi="微软雅黑" w:eastAsia="微软雅黑"/>
        </w:rPr>
        <w:t>掌控高效跨部门沟通，突破瓶颈：找到阻碍企业正常运营的瓶颈，并采用恰当而创新的方式突破瓶颈，实现效率的大幅度提升，从而化解部门间冲突。</w:t>
      </w:r>
    </w:p>
    <w:p>
      <w:pPr>
        <w:spacing w:line="400" w:lineRule="exact"/>
        <w:rPr>
          <w:rFonts w:ascii="微软雅黑" w:hAnsi="微软雅黑" w:eastAsia="微软雅黑" w:cs="Times New Roman"/>
          <w:b/>
        </w:rPr>
      </w:pPr>
    </w:p>
    <w:p>
      <w:pPr>
        <w:spacing w:line="400" w:lineRule="exact"/>
        <w:rPr>
          <w:rFonts w:ascii="微软雅黑" w:hAnsi="微软雅黑" w:eastAsia="微软雅黑" w:cs="Times New Roman"/>
          <w:b/>
        </w:rPr>
      </w:pPr>
      <w:r>
        <w:rPr>
          <w:rFonts w:hint="eastAsia" w:ascii="微软雅黑" w:hAnsi="微软雅黑" w:eastAsia="微软雅黑" w:cs="Times New Roman"/>
          <w:b/>
        </w:rPr>
        <w:t>四、课程特色</w:t>
      </w:r>
    </w:p>
    <w:p>
      <w:pPr>
        <w:pStyle w:val="5"/>
        <w:numPr>
          <w:ilvl w:val="0"/>
          <w:numId w:val="2"/>
        </w:numPr>
        <w:spacing w:line="400" w:lineRule="exact"/>
        <w:ind w:firstLineChars="0"/>
        <w:rPr>
          <w:rFonts w:ascii="微软雅黑" w:hAnsi="微软雅黑" w:eastAsia="微软雅黑" w:cs="Times New Roman"/>
        </w:rPr>
      </w:pPr>
      <w:r>
        <w:rPr>
          <w:rFonts w:hint="eastAsia" w:ascii="微软雅黑" w:hAnsi="微软雅黑" w:eastAsia="微软雅黑" w:cs="Times New Roman"/>
          <w:b/>
        </w:rPr>
        <w:t>操作：</w:t>
      </w:r>
      <w:r>
        <w:rPr>
          <w:rFonts w:hint="eastAsia" w:ascii="微软雅黑" w:hAnsi="微软雅黑" w:eastAsia="微软雅黑" w:cs="Times New Roman"/>
        </w:rPr>
        <w:t xml:space="preserve">在模拟课程中学员放手大胆尝试，仔细决策，严格实施。学员不仅要熟悉管理学中的基本概念和管理术语，更要能够运用这些知识到实际运作中。 </w:t>
      </w:r>
    </w:p>
    <w:p>
      <w:pPr>
        <w:pStyle w:val="5"/>
        <w:numPr>
          <w:ilvl w:val="0"/>
          <w:numId w:val="2"/>
        </w:numPr>
        <w:spacing w:line="400" w:lineRule="exact"/>
        <w:ind w:firstLineChars="0"/>
        <w:rPr>
          <w:rFonts w:ascii="微软雅黑" w:hAnsi="微软雅黑" w:eastAsia="微软雅黑" w:cs="Times New Roman"/>
        </w:rPr>
      </w:pPr>
      <w:r>
        <w:rPr>
          <w:rFonts w:hint="eastAsia" w:ascii="微软雅黑" w:hAnsi="微软雅黑" w:eastAsia="微软雅黑" w:cs="Times New Roman"/>
          <w:b/>
        </w:rPr>
        <w:t>趣味：</w:t>
      </w:r>
      <w:r>
        <w:rPr>
          <w:rFonts w:hint="eastAsia" w:ascii="微软雅黑" w:hAnsi="微软雅黑" w:eastAsia="微软雅黑" w:cs="Times New Roman"/>
        </w:rPr>
        <w:t xml:space="preserve">在模拟实战课堂里，你能感受到欢乐、沮丧、激动、痛苦、埋怨、成功、失败、失眠这些真实的情感体验。这些真实的体验可以帮助你将模拟学习中所学到的知识更快、更为准确的使用到实际工作中去。 </w:t>
      </w:r>
    </w:p>
    <w:p>
      <w:pPr>
        <w:pStyle w:val="5"/>
        <w:numPr>
          <w:ilvl w:val="0"/>
          <w:numId w:val="2"/>
        </w:numPr>
        <w:spacing w:line="400" w:lineRule="exact"/>
        <w:ind w:firstLineChars="0"/>
        <w:rPr>
          <w:rFonts w:ascii="微软雅黑" w:hAnsi="微软雅黑" w:eastAsia="微软雅黑" w:cs="Times New Roman"/>
        </w:rPr>
      </w:pPr>
      <w:r>
        <w:rPr>
          <w:rFonts w:hint="eastAsia" w:ascii="微软雅黑" w:hAnsi="微软雅黑" w:eastAsia="微软雅黑" w:cs="Times New Roman"/>
          <w:b/>
        </w:rPr>
        <w:t>互动：</w:t>
      </w:r>
      <w:r>
        <w:rPr>
          <w:rFonts w:hint="eastAsia" w:ascii="微软雅黑" w:hAnsi="微软雅黑" w:eastAsia="微软雅黑" w:cs="Times New Roman"/>
        </w:rPr>
        <w:t>实战模拟课程的教师在课程中灵活扮演各种角色，目的使学员身临其境，激发学员自己思考、自主学习的热情和欲望。</w:t>
      </w:r>
    </w:p>
    <w:p>
      <w:pPr>
        <w:pStyle w:val="5"/>
        <w:numPr>
          <w:ilvl w:val="0"/>
          <w:numId w:val="2"/>
        </w:numPr>
        <w:spacing w:line="400" w:lineRule="exact"/>
        <w:ind w:firstLineChars="0"/>
        <w:rPr>
          <w:rFonts w:ascii="微软雅黑" w:hAnsi="微软雅黑" w:eastAsia="微软雅黑" w:cs="Times New Roman"/>
        </w:rPr>
      </w:pPr>
      <w:r>
        <w:rPr>
          <w:rFonts w:hint="eastAsia" w:ascii="微软雅黑" w:hAnsi="微软雅黑" w:eastAsia="微软雅黑" w:cs="Times New Roman"/>
          <w:b/>
        </w:rPr>
        <w:t>学习：</w:t>
      </w:r>
      <w:r>
        <w:rPr>
          <w:rFonts w:hint="eastAsia" w:ascii="微软雅黑" w:hAnsi="微软雅黑" w:eastAsia="微软雅黑" w:cs="Times New Roman"/>
        </w:rPr>
        <w:t>在课程的推进中，教师即使把握模拟过程中的实际案例，讲解课程的知识点，并教授具体的工具鼓励学员在下一轮的模拟经营中去使用。</w:t>
      </w:r>
    </w:p>
    <w:p>
      <w:pPr>
        <w:spacing w:line="400" w:lineRule="exact"/>
        <w:rPr>
          <w:rFonts w:ascii="微软雅黑" w:hAnsi="微软雅黑" w:eastAsia="微软雅黑" w:cs="Times New Roman"/>
        </w:rPr>
      </w:pPr>
    </w:p>
    <w:p>
      <w:pPr>
        <w:spacing w:line="400" w:lineRule="exact"/>
        <w:rPr>
          <w:rFonts w:ascii="微软雅黑" w:hAnsi="微软雅黑" w:eastAsia="微软雅黑" w:cs="Times New Roman"/>
        </w:rPr>
      </w:pPr>
      <w:r>
        <w:rPr>
          <w:rFonts w:hint="eastAsia" w:ascii="微软雅黑" w:hAnsi="微软雅黑" w:eastAsia="微软雅黑" w:cs="Times New Roman"/>
          <w:b/>
        </w:rPr>
        <w:t>五、课程时间：</w:t>
      </w:r>
      <w:r>
        <w:rPr>
          <w:rFonts w:hint="eastAsia" w:ascii="微软雅黑" w:hAnsi="微软雅黑" w:eastAsia="微软雅黑" w:cs="Times New Roman"/>
        </w:rPr>
        <w:t>标准课时1天（6小时），可压缩至0.5天（3小时）</w:t>
      </w:r>
    </w:p>
    <w:p>
      <w:pPr>
        <w:spacing w:line="400" w:lineRule="exact"/>
        <w:rPr>
          <w:rFonts w:ascii="微软雅黑" w:hAnsi="微软雅黑" w:eastAsia="微软雅黑" w:cs="Times New Roman"/>
        </w:rPr>
      </w:pPr>
    </w:p>
    <w:p>
      <w:pPr>
        <w:spacing w:line="400" w:lineRule="exact"/>
        <w:rPr>
          <w:rFonts w:ascii="微软雅黑" w:hAnsi="微软雅黑" w:eastAsia="微软雅黑" w:cs="Times New Roman"/>
          <w:b/>
        </w:rPr>
      </w:pPr>
      <w:r>
        <w:rPr>
          <w:rFonts w:hint="eastAsia" w:ascii="微软雅黑" w:hAnsi="微软雅黑" w:eastAsia="微软雅黑" w:cs="Times New Roman"/>
          <w:b/>
        </w:rPr>
        <w:t>六、受众群体：</w:t>
      </w:r>
    </w:p>
    <w:p>
      <w:pPr>
        <w:spacing w:line="400" w:lineRule="exact"/>
        <w:rPr>
          <w:rFonts w:ascii="微软雅黑" w:hAnsi="微软雅黑" w:eastAsia="微软雅黑" w:cs="Times New Roman"/>
        </w:rPr>
      </w:pPr>
      <w:r>
        <w:rPr>
          <w:rFonts w:hint="eastAsia" w:ascii="微软雅黑" w:hAnsi="微软雅黑" w:eastAsia="微软雅黑" w:cs="Times New Roman"/>
        </w:rPr>
        <w:t>企业中基层管理者（建议6组以内，每组6人最佳，4-8人亦可）</w:t>
      </w:r>
    </w:p>
    <w:p>
      <w:pPr>
        <w:spacing w:line="400" w:lineRule="exact"/>
        <w:rPr>
          <w:rFonts w:ascii="微软雅黑" w:hAnsi="微软雅黑" w:eastAsia="微软雅黑" w:cs="Times New Roman"/>
        </w:rPr>
      </w:pPr>
    </w:p>
    <w:p>
      <w:pPr>
        <w:spacing w:line="400" w:lineRule="exact"/>
        <w:rPr>
          <w:rFonts w:ascii="微软雅黑" w:hAnsi="微软雅黑" w:eastAsia="微软雅黑" w:cs="Times New Roman"/>
          <w:b/>
        </w:rPr>
      </w:pPr>
      <w:r>
        <w:rPr>
          <w:rFonts w:hint="eastAsia" w:ascii="微软雅黑" w:hAnsi="微软雅黑" w:eastAsia="微软雅黑" w:cs="Times New Roman"/>
          <w:b/>
        </w:rPr>
        <w:t>七、课程安排：</w:t>
      </w:r>
    </w:p>
    <w:p>
      <w:pPr>
        <w:pStyle w:val="5"/>
        <w:numPr>
          <w:ilvl w:val="0"/>
          <w:numId w:val="2"/>
        </w:numPr>
        <w:spacing w:line="400" w:lineRule="exact"/>
        <w:ind w:firstLineChars="0"/>
        <w:rPr>
          <w:rFonts w:ascii="微软雅黑" w:hAnsi="微软雅黑" w:eastAsia="微软雅黑" w:cs="Times New Roman"/>
        </w:rPr>
      </w:pPr>
      <w:r>
        <w:rPr>
          <w:rFonts w:hint="eastAsia" w:ascii="微软雅黑" w:hAnsi="微软雅黑" w:eastAsia="微软雅黑" w:cs="Times New Roman"/>
        </w:rPr>
        <w:t>课程导入，破冰，理解跨部门有效沟通的重要性和具体方法。</w:t>
      </w:r>
    </w:p>
    <w:p>
      <w:pPr>
        <w:pStyle w:val="5"/>
        <w:numPr>
          <w:ilvl w:val="0"/>
          <w:numId w:val="2"/>
        </w:numPr>
        <w:spacing w:line="400" w:lineRule="exact"/>
        <w:ind w:firstLineChars="0"/>
        <w:rPr>
          <w:rFonts w:ascii="微软雅黑" w:hAnsi="微软雅黑" w:eastAsia="微软雅黑" w:cs="Times New Roman"/>
        </w:rPr>
      </w:pPr>
      <w:r>
        <w:rPr>
          <w:rFonts w:hint="eastAsia" w:ascii="微软雅黑" w:hAnsi="微软雅黑" w:eastAsia="微软雅黑" w:cs="Times New Roman"/>
        </w:rPr>
        <w:t>老师带领第一轮沙盘推演，讨论跨部门沟通方案，建立共同语言。</w:t>
      </w:r>
    </w:p>
    <w:p>
      <w:pPr>
        <w:pStyle w:val="5"/>
        <w:numPr>
          <w:ilvl w:val="0"/>
          <w:numId w:val="2"/>
        </w:numPr>
        <w:spacing w:line="400" w:lineRule="exact"/>
        <w:ind w:firstLineChars="0"/>
        <w:rPr>
          <w:rFonts w:ascii="微软雅黑" w:hAnsi="微软雅黑" w:eastAsia="微软雅黑" w:cs="Times New Roman"/>
        </w:rPr>
      </w:pPr>
      <w:r>
        <w:rPr>
          <w:rFonts w:hint="eastAsia" w:ascii="微软雅黑" w:hAnsi="微软雅黑" w:eastAsia="微软雅黑" w:cs="Times New Roman"/>
        </w:rPr>
        <w:t>讨论：高效沟通核心要素，换位思考，明确将企业目标放在第一。</w:t>
      </w:r>
    </w:p>
    <w:p>
      <w:pPr>
        <w:pStyle w:val="5"/>
        <w:numPr>
          <w:ilvl w:val="0"/>
          <w:numId w:val="2"/>
        </w:numPr>
        <w:spacing w:line="400" w:lineRule="exact"/>
        <w:ind w:firstLineChars="0"/>
        <w:rPr>
          <w:rFonts w:ascii="微软雅黑" w:hAnsi="微软雅黑" w:eastAsia="微软雅黑" w:cs="Times New Roman"/>
        </w:rPr>
      </w:pPr>
      <w:r>
        <w:rPr>
          <w:rFonts w:hint="eastAsia" w:ascii="微软雅黑" w:hAnsi="微软雅黑" w:eastAsia="微软雅黑" w:cs="Times New Roman"/>
        </w:rPr>
        <w:t>基于有效的跨部门沟通，讨论如何通力合作发现瓶颈并突破瓶颈。</w:t>
      </w:r>
    </w:p>
    <w:p>
      <w:r>
        <w:rPr>
          <w:rFonts w:hint="eastAsia" w:ascii="微软雅黑" w:hAnsi="微软雅黑" w:eastAsia="微软雅黑" w:cs="Times New Roman"/>
        </w:rPr>
        <w:t>第二轮沙盘推演，实现卓越绩效，分享、总结、制定行动计划。</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755E06"/>
    <w:multiLevelType w:val="multilevel"/>
    <w:tmpl w:val="1C755E06"/>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
    <w:nsid w:val="1D63119D"/>
    <w:multiLevelType w:val="multilevel"/>
    <w:tmpl w:val="1D63119D"/>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051F03"/>
    <w:rsid w:val="51051F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basedOn w:val="3"/>
    <w:unhideWhenUsed/>
    <w:uiPriority w:val="99"/>
    <w:rPr>
      <w:color w:val="0563C1" w:themeColor="hyperlink"/>
      <w:u w:val="single"/>
      <w14:textFill>
        <w14:solidFill>
          <w14:schemeClr w14:val="hlink"/>
        </w14:solidFill>
      </w14:textFill>
    </w:rPr>
  </w:style>
  <w:style w:type="paragraph" w:styleId="5">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2021-03-20T05:02:00Z</dcterms:created>
  <dc:creator>未妨惆怅是清狂</dc:creator>
  <cp:lastModifiedBy>未妨惆怅是清狂</cp:lastModifiedBy>
  <dcterms:modified xsi:type="dcterms:W3CDTF">2021-03-20T05:03:08Z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