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jc w:val="center"/>
        <w:rPr>
          <w:rFonts w:ascii="Arial" w:hAnsi="Arial" w:eastAsia="微软雅黑" w:cs="Arial"/>
          <w:b/>
          <w:color w:val="000000" w:themeColor="text1"/>
          <w:sz w:val="32"/>
          <w:szCs w:val="36"/>
          <w14:textFill>
            <w14:solidFill>
              <w14:schemeClr w14:val="tx1"/>
            </w14:solidFill>
          </w14:textFill>
        </w:rPr>
      </w:pPr>
      <w:r>
        <w:rPr>
          <w:rFonts w:ascii="Arial" w:hAnsi="微软雅黑" w:eastAsia="微软雅黑" w:cs="Arial"/>
          <w:b/>
          <w:color w:val="000000" w:themeColor="text1"/>
          <w:sz w:val="32"/>
          <w:szCs w:val="36"/>
          <w14:textFill>
            <w14:solidFill>
              <w14:schemeClr w14:val="tx1"/>
            </w14:solidFill>
          </w14:textFill>
        </w:rPr>
        <w:t>无形引</w:t>
      </w:r>
      <w:r>
        <w:rPr>
          <w:rFonts w:ascii="Arial" w:hAnsi="微软雅黑" w:eastAsia="微软雅黑" w:cs="Arial"/>
          <w:b/>
          <w:color w:val="FF0000"/>
          <w:sz w:val="32"/>
          <w:szCs w:val="36"/>
        </w:rPr>
        <w:t>力</w:t>
      </w:r>
      <w:r>
        <w:rPr>
          <w:rFonts w:ascii="Arial" w:hAnsi="Arial" w:eastAsia="微软雅黑" w:cs="Arial"/>
          <w:b/>
          <w:color w:val="000000" w:themeColor="text1"/>
          <w:sz w:val="32"/>
          <w:szCs w:val="36"/>
          <w14:textFill>
            <w14:solidFill>
              <w14:schemeClr w14:val="tx1"/>
            </w14:solidFill>
          </w14:textFill>
        </w:rPr>
        <w:t>——</w:t>
      </w:r>
      <w:r>
        <w:rPr>
          <w:rFonts w:ascii="Arial" w:hAnsi="微软雅黑" w:eastAsia="微软雅黑" w:cs="Arial"/>
          <w:b/>
          <w:color w:val="000000" w:themeColor="text1"/>
          <w:sz w:val="32"/>
          <w:szCs w:val="36"/>
          <w14:textFill>
            <w14:solidFill>
              <w14:schemeClr w14:val="tx1"/>
            </w14:solidFill>
          </w14:textFill>
        </w:rPr>
        <w:t>战略性资源管理沙盘</w:t>
      </w:r>
    </w:p>
    <w:p>
      <w:pPr>
        <w:spacing w:line="340" w:lineRule="exact"/>
        <w:jc w:val="center"/>
        <w:rPr>
          <w:rFonts w:ascii="微软雅黑" w:hAnsi="微软雅黑" w:eastAsia="微软雅黑" w:cs="Arial"/>
          <w:szCs w:val="21"/>
        </w:rPr>
      </w:pPr>
      <w:bookmarkStart w:id="0" w:name="_GoBack"/>
      <w:bookmarkEnd w:id="0"/>
    </w:p>
    <w:p>
      <w:pPr>
        <w:pStyle w:val="2"/>
        <w:spacing w:before="0" w:beforeAutospacing="0" w:after="0" w:afterAutospacing="0" w:line="340" w:lineRule="exact"/>
        <w:rPr>
          <w:rFonts w:ascii="微软雅黑" w:hAnsi="微软雅黑" w:eastAsia="微软雅黑" w:cs="Arial"/>
          <w:b/>
          <w:color w:val="0D0D0D"/>
          <w:sz w:val="21"/>
          <w:szCs w:val="21"/>
        </w:rPr>
      </w:pPr>
    </w:p>
    <w:p>
      <w:pPr>
        <w:pStyle w:val="2"/>
        <w:spacing w:before="0" w:beforeAutospacing="0" w:after="0" w:afterAutospacing="0" w:line="340" w:lineRule="exact"/>
        <w:rPr>
          <w:rFonts w:ascii="微软雅黑" w:hAnsi="微软雅黑" w:eastAsia="微软雅黑" w:cs="Arial"/>
          <w:b/>
          <w:color w:val="0D0D0D"/>
          <w:sz w:val="21"/>
          <w:szCs w:val="21"/>
        </w:rPr>
      </w:pPr>
      <w:r>
        <w:rPr>
          <w:rFonts w:ascii="微软雅黑" w:hAnsi="微软雅黑" w:eastAsia="微软雅黑" w:cs="Arial"/>
          <w:b/>
          <w:color w:val="0D0D0D"/>
          <w:sz w:val="21"/>
          <w:szCs w:val="21"/>
        </w:rPr>
        <w:t>一、课程概览：</w:t>
      </w:r>
    </w:p>
    <w:p>
      <w:pPr>
        <w:pStyle w:val="2"/>
        <w:spacing w:before="0" w:beforeAutospacing="0" w:after="0" w:afterAutospacing="0" w:line="340" w:lineRule="exact"/>
        <w:ind w:firstLine="420"/>
        <w:rPr>
          <w:rFonts w:ascii="微软雅黑" w:hAnsi="微软雅黑" w:eastAsia="微软雅黑" w:cs="Arial"/>
          <w:color w:val="0D0D0D"/>
          <w:sz w:val="21"/>
          <w:szCs w:val="21"/>
        </w:rPr>
      </w:pPr>
      <w:r>
        <w:rPr>
          <w:rFonts w:ascii="微软雅黑" w:hAnsi="微软雅黑" w:eastAsia="微软雅黑" w:cs="Arial"/>
          <w:color w:val="0D0D0D"/>
          <w:sz w:val="21"/>
          <w:szCs w:val="21"/>
        </w:rPr>
        <w:t>当我们研究和分析一个企业是否成功时，通常会把眼光停留在它的策略、企业形式、业绩考核与激励创新等方面，因此通常会得出一些“必要但不充分”的结论。优秀的经理人必须具备这样的商业才能：剔除经营的表皮，直探生意的“核心”，挖掘驱动公司价值的关键要素——各种资源和成本。认知这些核心要素，掌握他们如何相互关联创造价值的原理，把久经考验的真理运用到你所做的任何事情中去，这就是成功的关键。如何在管理企业有形资产的基础上，同时管理企业的无形资产，最终塑造出适应现代企业的经营思维。</w:t>
      </w:r>
    </w:p>
    <w:p>
      <w:pPr>
        <w:pStyle w:val="2"/>
        <w:spacing w:before="0" w:beforeAutospacing="0" w:after="0" w:afterAutospacing="0" w:line="340" w:lineRule="exact"/>
        <w:ind w:firstLine="420"/>
        <w:rPr>
          <w:rFonts w:ascii="微软雅黑" w:hAnsi="微软雅黑" w:eastAsia="微软雅黑" w:cs="Arial"/>
          <w:color w:val="0D0D0D"/>
          <w:sz w:val="21"/>
          <w:szCs w:val="21"/>
        </w:rPr>
      </w:pPr>
    </w:p>
    <w:p>
      <w:pPr>
        <w:pStyle w:val="2"/>
        <w:spacing w:before="0" w:beforeAutospacing="0" w:after="0" w:afterAutospacing="0" w:line="340" w:lineRule="exact"/>
        <w:ind w:firstLine="420"/>
        <w:rPr>
          <w:rFonts w:ascii="微软雅黑" w:hAnsi="微软雅黑" w:eastAsia="微软雅黑" w:cs="Arial"/>
          <w:color w:val="0D0D0D"/>
          <w:sz w:val="21"/>
          <w:szCs w:val="21"/>
        </w:rPr>
      </w:pPr>
      <w:r>
        <w:rPr>
          <w:rFonts w:ascii="微软雅黑" w:hAnsi="微软雅黑" w:eastAsia="微软雅黑" w:cs="Arial"/>
          <w:color w:val="0D0D0D"/>
          <w:sz w:val="21"/>
          <w:szCs w:val="21"/>
        </w:rPr>
        <w:t>随着服务型项目制企业越来越依靠员工的知识技能来获得客户和利润，管理者逐步面临一个新的挑战，他们必须要能把企业的技术、人才、形象、客户基础等等看起来无形的资源调配好，经营好。在识别好各种资源的基础上利用结构化的工具进行现状分析，找出每个模块成本控制的节点，做到有效地协调资源，实现企业经营价值的最大化。</w:t>
      </w:r>
    </w:p>
    <w:p>
      <w:pPr>
        <w:pStyle w:val="2"/>
        <w:spacing w:before="0" w:beforeAutospacing="0" w:after="0" w:afterAutospacing="0" w:line="340" w:lineRule="exact"/>
        <w:jc w:val="center"/>
        <w:rPr>
          <w:rFonts w:ascii="微软雅黑" w:hAnsi="微软雅黑" w:eastAsia="微软雅黑" w:cs="Arial"/>
          <w:color w:val="0D0D0D"/>
          <w:sz w:val="21"/>
          <w:szCs w:val="21"/>
        </w:rPr>
      </w:pPr>
    </w:p>
    <w:p>
      <w:pPr>
        <w:pStyle w:val="2"/>
        <w:spacing w:before="0" w:beforeAutospacing="0" w:after="0" w:afterAutospacing="0" w:line="340" w:lineRule="exact"/>
        <w:rPr>
          <w:rFonts w:ascii="微软雅黑" w:hAnsi="微软雅黑" w:eastAsia="微软雅黑" w:cs="Arial"/>
          <w:color w:val="0D0D0D"/>
          <w:sz w:val="21"/>
          <w:szCs w:val="21"/>
        </w:rPr>
      </w:pPr>
      <w:r>
        <w:rPr>
          <w:rFonts w:ascii="微软雅黑" w:hAnsi="微软雅黑" w:eastAsia="微软雅黑" w:cs="Arial"/>
          <w:color w:val="0D0D0D"/>
          <w:sz w:val="21"/>
          <w:szCs w:val="21"/>
        </w:rPr>
        <w:tab/>
      </w:r>
      <w:r>
        <w:rPr>
          <w:rFonts w:ascii="微软雅黑" w:hAnsi="微软雅黑" w:eastAsia="微软雅黑" w:cs="Arial"/>
          <w:color w:val="0D0D0D"/>
          <w:sz w:val="21"/>
          <w:szCs w:val="21"/>
        </w:rPr>
        <w:t>作为现代企业的管理者，我们不仅需要合理掌控有形资产，同时也需要从战略层面考虑到一些无形的因素，包括员工的个人发展需求（雄心抱负）和工作偏好（专技、形象、薪水）以及个人职业发展、客户办理业务的处事风格和员工的匹配程度以及对服务的要求（专技敏感、价格敏感、形象敏感）、新产品和服务的研发等，逐步打造出一个能够为客户提供满意服务的团队，提升公司的专业技能和市场口碑，最终确保自身在市场上的领先地位。</w:t>
      </w:r>
    </w:p>
    <w:p>
      <w:pPr>
        <w:pStyle w:val="2"/>
        <w:spacing w:before="0" w:beforeAutospacing="0" w:after="0" w:afterAutospacing="0" w:line="340" w:lineRule="exact"/>
        <w:ind w:firstLine="420"/>
        <w:rPr>
          <w:rFonts w:ascii="微软雅黑" w:hAnsi="微软雅黑" w:eastAsia="微软雅黑" w:cs="Arial"/>
          <w:color w:val="0D0D0D"/>
          <w:sz w:val="21"/>
          <w:szCs w:val="21"/>
        </w:rPr>
      </w:pPr>
    </w:p>
    <w:p>
      <w:pPr>
        <w:pStyle w:val="2"/>
        <w:spacing w:before="0" w:beforeAutospacing="0" w:after="0" w:afterAutospacing="0" w:line="340" w:lineRule="exact"/>
        <w:ind w:firstLine="420"/>
        <w:rPr>
          <w:rFonts w:ascii="微软雅黑" w:hAnsi="微软雅黑" w:eastAsia="微软雅黑" w:cs="Arial"/>
          <w:color w:val="0D0D0D"/>
          <w:sz w:val="21"/>
          <w:szCs w:val="21"/>
        </w:rPr>
      </w:pPr>
      <w:r>
        <w:rPr>
          <w:rFonts w:ascii="微软雅黑" w:hAnsi="微软雅黑" w:eastAsia="微软雅黑" w:cs="Arial"/>
          <w:color w:val="0D0D0D"/>
          <w:sz w:val="21"/>
          <w:szCs w:val="21"/>
        </w:rPr>
        <w:t>本课程将采取沙盘的实战模拟的方式．同一组学员将分别扮演总经理、市场营销总监、人力资源总监、项目管理总监和财务总监等角色，通过换位思考，亲身体会有形资产和无形资产的累积过程，领悟如何经营才能有效控制成本，使企业的无形资产稳步增值，并服务于有形资产。</w:t>
      </w:r>
    </w:p>
    <w:p>
      <w:pPr>
        <w:pStyle w:val="2"/>
        <w:spacing w:before="0" w:beforeAutospacing="0" w:after="0" w:afterAutospacing="0" w:line="340" w:lineRule="exact"/>
        <w:ind w:firstLine="420"/>
        <w:rPr>
          <w:rFonts w:ascii="微软雅黑" w:hAnsi="微软雅黑" w:eastAsia="微软雅黑" w:cs="Arial"/>
          <w:color w:val="0D0D0D"/>
          <w:sz w:val="21"/>
          <w:szCs w:val="21"/>
        </w:rPr>
      </w:pPr>
      <w:r>
        <w:rPr>
          <w:rFonts w:ascii="微软雅黑" w:hAnsi="微软雅黑" w:eastAsia="微软雅黑" w:cs="Arial"/>
          <w:color w:val="0D0D0D"/>
          <w:sz w:val="21"/>
          <w:szCs w:val="21"/>
        </w:rPr>
        <w:t xml:space="preserve"> </w:t>
      </w:r>
    </w:p>
    <w:p>
      <w:pPr>
        <w:pStyle w:val="2"/>
        <w:spacing w:before="0" w:beforeAutospacing="0" w:after="0" w:afterAutospacing="0" w:line="340" w:lineRule="exact"/>
        <w:rPr>
          <w:rFonts w:ascii="微软雅黑" w:hAnsi="微软雅黑" w:eastAsia="微软雅黑" w:cs="Arial"/>
          <w:color w:val="0D0D0D"/>
          <w:sz w:val="21"/>
          <w:szCs w:val="21"/>
        </w:rPr>
      </w:pPr>
      <w:r>
        <w:rPr>
          <w:rFonts w:ascii="微软雅黑" w:hAnsi="微软雅黑" w:eastAsia="微软雅黑" w:cs="Arial"/>
          <w:b/>
          <w:color w:val="0D0D0D"/>
          <w:sz w:val="21"/>
          <w:szCs w:val="21"/>
        </w:rPr>
        <w:drawing>
          <wp:anchor distT="0" distB="0" distL="114300" distR="114300" simplePos="0" relativeHeight="251673600" behindDoc="0" locked="0" layoutInCell="1" allowOverlap="1">
            <wp:simplePos x="0" y="0"/>
            <wp:positionH relativeFrom="column">
              <wp:posOffset>45720</wp:posOffset>
            </wp:positionH>
            <wp:positionV relativeFrom="paragraph">
              <wp:posOffset>246380</wp:posOffset>
            </wp:positionV>
            <wp:extent cx="5285740" cy="2255520"/>
            <wp:effectExtent l="38100" t="0" r="0" b="0"/>
            <wp:wrapNone/>
            <wp:docPr id="4" name="图示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anchor>
        </w:drawing>
      </w:r>
      <w:r>
        <w:rPr>
          <w:rFonts w:ascii="微软雅黑" w:hAnsi="微软雅黑" w:eastAsia="微软雅黑" w:cs="Arial"/>
          <w:b/>
          <w:color w:val="0D0D0D"/>
          <w:sz w:val="21"/>
          <w:szCs w:val="21"/>
        </w:rPr>
        <w:t>二、课程推演流程：</w:t>
      </w:r>
      <w:r>
        <w:rPr>
          <w:rFonts w:ascii="微软雅黑" w:hAnsi="微软雅黑" w:eastAsia="微软雅黑" w:cs="Arial"/>
          <w:color w:val="0D0D0D"/>
          <w:sz w:val="21"/>
          <w:szCs w:val="21"/>
        </w:rPr>
        <w:br w:type="page"/>
      </w:r>
    </w:p>
    <w:p>
      <w:pPr>
        <w:spacing w:line="340" w:lineRule="exact"/>
        <w:rPr>
          <w:rFonts w:ascii="微软雅黑" w:hAnsi="微软雅黑" w:eastAsia="微软雅黑" w:cs="Arial"/>
          <w:b/>
          <w:szCs w:val="21"/>
        </w:rPr>
      </w:pPr>
      <w:r>
        <w:rPr>
          <w:rFonts w:ascii="微软雅黑" w:hAnsi="微软雅黑" w:eastAsia="微软雅黑" w:cs="Arial"/>
          <w:b/>
          <w:szCs w:val="21"/>
        </w:rPr>
        <w:t>三、课程收益:</w:t>
      </w:r>
    </w:p>
    <w:p>
      <w:pPr>
        <w:pStyle w:val="2"/>
        <w:numPr>
          <w:ilvl w:val="0"/>
          <w:numId w:val="1"/>
        </w:numPr>
        <w:spacing w:before="0" w:beforeAutospacing="0" w:after="0" w:afterAutospacing="0" w:line="340" w:lineRule="exact"/>
        <w:rPr>
          <w:rFonts w:ascii="微软雅黑" w:hAnsi="微软雅黑" w:eastAsia="微软雅黑" w:cs="Arial"/>
          <w:color w:val="0D0D0D"/>
          <w:sz w:val="21"/>
          <w:szCs w:val="21"/>
        </w:rPr>
      </w:pPr>
      <w:r>
        <w:rPr>
          <w:rFonts w:ascii="微软雅黑" w:hAnsi="微软雅黑" w:eastAsia="微软雅黑" w:cs="Arial"/>
          <w:color w:val="0D0D0D"/>
          <w:sz w:val="21"/>
          <w:szCs w:val="21"/>
        </w:rPr>
        <w:t>战略框架、市场需求分析、市场竞争环境分析；</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衡量知识价值和其他无形资产的价值；</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组织的资源管理和成本控制对利润的影响；</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制定兼顾公司、员工及顾客的营销策略和组织发展策略；</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在竞争中规划和管理人才，经营思维与组织变革；</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合理的人才梯队建设，做好组织规划和员工激励；</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课程为学员展示了经营的全貌，包括财务、组织、客户、人才。直观地揭示组织内部和外部各种经济要素的内在关联，使得身处不同部门的人员为同一目标努力；</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通过课程所掌握的共同的管理“语言”将保证沟通的有效性；</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积极参与变革的愿望和能力。这个课程可以作为工具，帮助学员了解组织变革的内在动因、分权与授权的意义以及跨部门交流的必要性；</w:t>
      </w:r>
    </w:p>
    <w:p>
      <w:pPr>
        <w:pStyle w:val="2"/>
        <w:numPr>
          <w:ilvl w:val="0"/>
          <w:numId w:val="1"/>
        </w:numPr>
        <w:spacing w:before="0" w:beforeAutospacing="0" w:after="0" w:afterAutospacing="0" w:line="340" w:lineRule="exact"/>
        <w:rPr>
          <w:rFonts w:ascii="微软雅黑" w:hAnsi="微软雅黑" w:eastAsia="微软雅黑" w:cs="Arial"/>
          <w:color w:val="3E3E3E"/>
          <w:sz w:val="21"/>
          <w:szCs w:val="21"/>
        </w:rPr>
      </w:pPr>
      <w:r>
        <w:rPr>
          <w:rFonts w:ascii="微软雅黑" w:hAnsi="微软雅黑" w:eastAsia="微软雅黑" w:cs="Arial"/>
          <w:color w:val="0D0D0D"/>
          <w:sz w:val="21"/>
          <w:szCs w:val="21"/>
        </w:rPr>
        <w:t>在动态的环境中审时度势，灵活决策，帮助建立全员的客户意识。</w:t>
      </w:r>
    </w:p>
    <w:p>
      <w:pPr>
        <w:pStyle w:val="2"/>
        <w:spacing w:before="0" w:beforeAutospacing="0" w:after="0" w:afterAutospacing="0" w:line="340" w:lineRule="exact"/>
        <w:ind w:left="420"/>
        <w:rPr>
          <w:rFonts w:ascii="微软雅黑" w:hAnsi="微软雅黑" w:eastAsia="微软雅黑" w:cs="Arial"/>
          <w:color w:val="3E3E3E"/>
          <w:sz w:val="21"/>
          <w:szCs w:val="21"/>
        </w:rPr>
      </w:pPr>
    </w:p>
    <w:p>
      <w:pPr>
        <w:widowControl/>
        <w:adjustRightInd w:val="0"/>
        <w:snapToGrid w:val="0"/>
        <w:spacing w:line="340" w:lineRule="exact"/>
        <w:jc w:val="left"/>
        <w:rPr>
          <w:rFonts w:ascii="微软雅黑" w:hAnsi="微软雅黑" w:eastAsia="微软雅黑" w:cs="Arial"/>
          <w:b/>
          <w:bCs/>
          <w:color w:val="0D0D0D"/>
          <w:szCs w:val="21"/>
        </w:rPr>
      </w:pPr>
      <w:r>
        <w:rPr>
          <w:rFonts w:ascii="微软雅黑" w:hAnsi="微软雅黑" w:eastAsia="微软雅黑" w:cs="Arial"/>
          <w:b/>
          <w:bCs/>
          <w:color w:val="0D0D0D"/>
          <w:szCs w:val="21"/>
        </w:rPr>
        <w:t>四、课程特色：</w:t>
      </w:r>
    </w:p>
    <w:p>
      <w:pPr>
        <w:pStyle w:val="6"/>
        <w:widowControl/>
        <w:numPr>
          <w:ilvl w:val="0"/>
          <w:numId w:val="2"/>
        </w:numPr>
        <w:adjustRightInd w:val="0"/>
        <w:snapToGrid w:val="0"/>
        <w:spacing w:line="340" w:lineRule="exact"/>
        <w:ind w:firstLineChars="0"/>
        <w:jc w:val="left"/>
        <w:rPr>
          <w:rFonts w:ascii="微软雅黑" w:hAnsi="微软雅黑" w:eastAsia="微软雅黑" w:cs="Arial"/>
          <w:bCs/>
          <w:color w:val="0D0D0D"/>
          <w:szCs w:val="21"/>
        </w:rPr>
      </w:pPr>
      <w:r>
        <w:rPr>
          <w:rFonts w:ascii="微软雅黑" w:hAnsi="微软雅黑" w:eastAsia="微软雅黑" w:cs="Arial"/>
          <w:bCs/>
          <w:color w:val="0D0D0D"/>
          <w:szCs w:val="21"/>
        </w:rPr>
        <w:t>有趣：学员通过自行操作推演，自行体会和发掘企业内部的各种资源，从而更直观地建立起成本控制概念。</w:t>
      </w:r>
    </w:p>
    <w:p>
      <w:pPr>
        <w:pStyle w:val="6"/>
        <w:widowControl/>
        <w:numPr>
          <w:ilvl w:val="0"/>
          <w:numId w:val="2"/>
        </w:numPr>
        <w:adjustRightInd w:val="0"/>
        <w:snapToGrid w:val="0"/>
        <w:spacing w:line="340" w:lineRule="exact"/>
        <w:ind w:firstLineChars="0"/>
        <w:jc w:val="left"/>
        <w:rPr>
          <w:rFonts w:ascii="微软雅黑" w:hAnsi="微软雅黑" w:eastAsia="微软雅黑" w:cs="Arial"/>
          <w:bCs/>
          <w:color w:val="0D0D0D"/>
          <w:szCs w:val="21"/>
        </w:rPr>
      </w:pPr>
      <w:r>
        <w:rPr>
          <w:rFonts w:ascii="微软雅黑" w:hAnsi="微软雅黑" w:eastAsia="微软雅黑" w:cs="Arial"/>
          <w:bCs/>
          <w:color w:val="0D0D0D"/>
          <w:szCs w:val="21"/>
        </w:rPr>
        <w:t>有料：基于学员现场推演的案例，搭配360°全方位的案例解读和理论导入，让学员更清楚地理解如何平衡有形资产和无形资产，并进行成本控制。</w:t>
      </w:r>
    </w:p>
    <w:p>
      <w:pPr>
        <w:pStyle w:val="6"/>
        <w:widowControl/>
        <w:numPr>
          <w:ilvl w:val="0"/>
          <w:numId w:val="2"/>
        </w:numPr>
        <w:adjustRightInd w:val="0"/>
        <w:snapToGrid w:val="0"/>
        <w:spacing w:line="340" w:lineRule="exact"/>
        <w:ind w:firstLineChars="0"/>
        <w:jc w:val="left"/>
        <w:rPr>
          <w:rFonts w:ascii="微软雅黑" w:hAnsi="微软雅黑" w:eastAsia="微软雅黑" w:cs="Arial"/>
          <w:b/>
          <w:color w:val="0D0D0D"/>
          <w:kern w:val="0"/>
          <w:szCs w:val="21"/>
        </w:rPr>
      </w:pPr>
      <w:r>
        <w:rPr>
          <w:rFonts w:ascii="微软雅黑" w:hAnsi="微软雅黑" w:eastAsia="微软雅黑" w:cs="Arial"/>
          <w:bCs/>
          <w:color w:val="0D0D0D"/>
          <w:szCs w:val="21"/>
        </w:rPr>
        <w:t>有效：通过沙盘的经验投射到实际工作中，共同分析自己工作中的成本控制现状，并制定出切实可行的行动计划。</w:t>
      </w:r>
    </w:p>
    <w:p>
      <w:pPr>
        <w:pStyle w:val="6"/>
        <w:widowControl/>
        <w:numPr>
          <w:ilvl w:val="0"/>
          <w:numId w:val="2"/>
        </w:numPr>
        <w:adjustRightInd w:val="0"/>
        <w:snapToGrid w:val="0"/>
        <w:spacing w:line="340" w:lineRule="exact"/>
        <w:ind w:firstLineChars="0"/>
        <w:jc w:val="left"/>
        <w:rPr>
          <w:rFonts w:ascii="微软雅黑" w:hAnsi="微软雅黑" w:eastAsia="微软雅黑" w:cs="Arial"/>
          <w:b/>
          <w:color w:val="0D0D0D"/>
          <w:kern w:val="0"/>
          <w:szCs w:val="21"/>
        </w:rPr>
      </w:pPr>
      <w:r>
        <w:rPr>
          <w:rFonts w:ascii="微软雅黑" w:hAnsi="微软雅黑" w:eastAsia="微软雅黑" w:cs="Arial"/>
          <w:bCs/>
          <w:color w:val="0D0D0D"/>
          <w:szCs w:val="21"/>
        </w:rPr>
        <w:t>巡盘点评：</w:t>
      </w:r>
      <w:r>
        <w:rPr>
          <w:rFonts w:ascii="微软雅黑" w:hAnsi="微软雅黑" w:eastAsia="微软雅黑" w:cs="Arial"/>
          <w:szCs w:val="21"/>
        </w:rPr>
        <w:t>讲师会带领所有学员轮流参观各组盘面，先各组自评，然后讲师现场点评，并根据实际情况导入相应的商业案例做类比分析，确保理论与实践紧密结合。</w:t>
      </w:r>
    </w:p>
    <w:p>
      <w:pPr>
        <w:pStyle w:val="6"/>
        <w:widowControl/>
        <w:numPr>
          <w:ilvl w:val="0"/>
          <w:numId w:val="2"/>
        </w:numPr>
        <w:adjustRightInd w:val="0"/>
        <w:snapToGrid w:val="0"/>
        <w:spacing w:line="340" w:lineRule="exact"/>
        <w:ind w:firstLineChars="0"/>
        <w:jc w:val="left"/>
        <w:rPr>
          <w:rFonts w:ascii="微软雅黑" w:hAnsi="微软雅黑" w:eastAsia="微软雅黑" w:cs="Arial"/>
          <w:b/>
          <w:color w:val="0D0D0D"/>
          <w:kern w:val="0"/>
          <w:szCs w:val="21"/>
        </w:rPr>
      </w:pPr>
      <w:r>
        <w:rPr>
          <w:rFonts w:ascii="微软雅黑" w:hAnsi="微软雅黑" w:eastAsia="微软雅黑" w:cs="Arial"/>
          <w:bCs/>
          <w:color w:val="0D0D0D"/>
          <w:szCs w:val="21"/>
        </w:rPr>
        <w:t>创新模式：目前市场上的经营沙盘大都聚焦于有形资产的概念，而对于服务行业来说，无形资产可能会给企业发展带来巨大的影响，本沙盘专门针对服务型知识密集型企业设计，能够让管理者不仅掌握有形资产的概念，同时还能通过洞悉无形资产的应用，合理利用所有战略性资源，不仅提升公司的有形资产，更能提升公司的无形价值，建立全面的战略经营思维。</w:t>
      </w:r>
    </w:p>
    <w:p>
      <w:pPr>
        <w:pStyle w:val="2"/>
        <w:spacing w:before="0" w:beforeAutospacing="0" w:after="0" w:afterAutospacing="0" w:line="340" w:lineRule="exact"/>
        <w:rPr>
          <w:rFonts w:ascii="微软雅黑" w:hAnsi="微软雅黑" w:eastAsia="微软雅黑" w:cs="Arial"/>
          <w:b/>
          <w:color w:val="0D0D0D"/>
          <w:sz w:val="21"/>
          <w:szCs w:val="21"/>
        </w:rPr>
      </w:pPr>
    </w:p>
    <w:p>
      <w:pPr>
        <w:pStyle w:val="2"/>
        <w:spacing w:before="0" w:beforeAutospacing="0" w:after="0" w:afterAutospacing="0" w:line="340" w:lineRule="exact"/>
        <w:rPr>
          <w:rFonts w:ascii="微软雅黑" w:hAnsi="微软雅黑" w:eastAsia="微软雅黑" w:cs="Arial"/>
          <w:b/>
          <w:color w:val="0D0D0D"/>
          <w:sz w:val="21"/>
          <w:szCs w:val="21"/>
        </w:rPr>
      </w:pPr>
      <w:r>
        <w:rPr>
          <w:rFonts w:ascii="微软雅黑" w:hAnsi="微软雅黑" w:eastAsia="微软雅黑" w:cs="Arial"/>
          <w:b/>
          <w:color w:val="0D0D0D"/>
          <w:sz w:val="21"/>
          <w:szCs w:val="21"/>
        </w:rPr>
        <w:t>五、课程对象：</w:t>
      </w:r>
    </w:p>
    <w:p>
      <w:pPr>
        <w:pStyle w:val="2"/>
        <w:spacing w:before="0" w:beforeAutospacing="0" w:after="0" w:afterAutospacing="0" w:line="340" w:lineRule="exact"/>
        <w:rPr>
          <w:rFonts w:ascii="微软雅黑" w:hAnsi="微软雅黑" w:eastAsia="微软雅黑" w:cs="Arial"/>
          <w:color w:val="0D0D0D"/>
          <w:sz w:val="21"/>
          <w:szCs w:val="21"/>
        </w:rPr>
      </w:pPr>
      <w:r>
        <w:rPr>
          <w:rFonts w:ascii="微软雅黑" w:hAnsi="微软雅黑" w:eastAsia="微软雅黑" w:cs="Arial"/>
          <w:color w:val="0D0D0D"/>
          <w:sz w:val="21"/>
          <w:szCs w:val="21"/>
        </w:rPr>
        <w:t>企业中高管（建议6组以内，每组4-8人为宜）</w:t>
      </w:r>
    </w:p>
    <w:p>
      <w:pPr>
        <w:pStyle w:val="2"/>
        <w:spacing w:before="0" w:beforeAutospacing="0" w:after="0" w:afterAutospacing="0" w:line="340" w:lineRule="exact"/>
        <w:rPr>
          <w:rFonts w:ascii="微软雅黑" w:hAnsi="微软雅黑" w:eastAsia="微软雅黑" w:cs="Arial"/>
          <w:b/>
          <w:color w:val="0D0D0D"/>
          <w:sz w:val="21"/>
          <w:szCs w:val="21"/>
        </w:rPr>
      </w:pPr>
    </w:p>
    <w:p>
      <w:pPr>
        <w:pStyle w:val="2"/>
        <w:spacing w:before="0" w:beforeAutospacing="0" w:after="0" w:afterAutospacing="0" w:line="340" w:lineRule="exact"/>
        <w:rPr>
          <w:rFonts w:ascii="微软雅黑" w:hAnsi="微软雅黑" w:eastAsia="微软雅黑" w:cs="Arial"/>
          <w:b/>
          <w:color w:val="0D0D0D"/>
          <w:sz w:val="21"/>
          <w:szCs w:val="21"/>
        </w:rPr>
      </w:pPr>
      <w:r>
        <w:rPr>
          <w:rFonts w:ascii="微软雅黑" w:hAnsi="微软雅黑" w:eastAsia="微软雅黑" w:cs="Arial"/>
          <w:b/>
          <w:color w:val="0D0D0D"/>
          <w:sz w:val="21"/>
          <w:szCs w:val="21"/>
        </w:rPr>
        <w:drawing>
          <wp:anchor distT="0" distB="0" distL="114300" distR="114300" simplePos="0" relativeHeight="251674624" behindDoc="0" locked="0" layoutInCell="1" allowOverlap="1">
            <wp:simplePos x="0" y="0"/>
            <wp:positionH relativeFrom="column">
              <wp:posOffset>1299210</wp:posOffset>
            </wp:positionH>
            <wp:positionV relativeFrom="paragraph">
              <wp:posOffset>40640</wp:posOffset>
            </wp:positionV>
            <wp:extent cx="4194810" cy="1859280"/>
            <wp:effectExtent l="0" t="0" r="15240" b="762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8" cstate="email"/>
                    <a:stretch>
                      <a:fillRect/>
                    </a:stretch>
                  </pic:blipFill>
                  <pic:spPr>
                    <a:xfrm>
                      <a:off x="0" y="0"/>
                      <a:ext cx="4194810" cy="1859280"/>
                    </a:xfrm>
                    <a:prstGeom prst="rect">
                      <a:avLst/>
                    </a:prstGeom>
                    <a:noFill/>
                    <a:ln w="9525">
                      <a:noFill/>
                      <a:miter lim="800000"/>
                      <a:headEnd/>
                      <a:tailEnd/>
                    </a:ln>
                    <a:effectLst/>
                  </pic:spPr>
                </pic:pic>
              </a:graphicData>
            </a:graphic>
          </wp:anchor>
        </w:drawing>
      </w:r>
      <w:r>
        <w:rPr>
          <w:rFonts w:ascii="微软雅黑" w:hAnsi="微软雅黑" w:eastAsia="微软雅黑" w:cs="Arial"/>
          <w:b/>
          <w:color w:val="0D0D0D"/>
          <w:sz w:val="21"/>
          <w:szCs w:val="21"/>
        </w:rPr>
        <w:t>六、课程时间：</w:t>
      </w:r>
    </w:p>
    <w:p>
      <w:pPr>
        <w:pStyle w:val="2"/>
        <w:spacing w:before="0" w:beforeAutospacing="0" w:after="0" w:afterAutospacing="0" w:line="340" w:lineRule="exact"/>
        <w:rPr>
          <w:rFonts w:ascii="微软雅黑" w:hAnsi="微软雅黑" w:eastAsia="微软雅黑" w:cs="Arial"/>
          <w:color w:val="0D0D0D"/>
          <w:sz w:val="21"/>
          <w:szCs w:val="21"/>
        </w:rPr>
      </w:pPr>
      <w:r>
        <w:rPr>
          <w:rFonts w:ascii="微软雅黑" w:hAnsi="微软雅黑" w:eastAsia="微软雅黑" w:cs="Arial"/>
          <w:color w:val="0D0D0D"/>
          <w:sz w:val="21"/>
          <w:szCs w:val="21"/>
        </w:rPr>
        <w:t>2天（12小时）</w:t>
      </w:r>
    </w:p>
    <w:p>
      <w:pPr>
        <w:pStyle w:val="2"/>
        <w:spacing w:before="0" w:beforeAutospacing="0" w:after="0" w:afterAutospacing="0" w:line="340" w:lineRule="exact"/>
        <w:rPr>
          <w:rFonts w:ascii="微软雅黑" w:hAnsi="微软雅黑" w:eastAsia="微软雅黑" w:cs="Arial"/>
          <w:color w:val="0D0D0D"/>
          <w:sz w:val="21"/>
          <w:szCs w:val="21"/>
        </w:rPr>
      </w:pPr>
      <w:r>
        <w:rPr>
          <w:rFonts w:hint="eastAsia" w:ascii="微软雅黑" w:hAnsi="微软雅黑" w:eastAsia="微软雅黑" w:cs="Arial"/>
          <w:color w:val="0D0D0D"/>
          <w:sz w:val="21"/>
          <w:szCs w:val="21"/>
        </w:rPr>
        <w:t>本课程非常复杂！</w:t>
      </w:r>
    </w:p>
    <w:p>
      <w:pPr>
        <w:pStyle w:val="2"/>
        <w:spacing w:before="0" w:beforeAutospacing="0" w:after="0" w:afterAutospacing="0" w:line="340" w:lineRule="exact"/>
        <w:rPr>
          <w:rFonts w:ascii="微软雅黑" w:hAnsi="微软雅黑" w:eastAsia="微软雅黑" w:cs="Arial"/>
          <w:color w:val="0D0D0D"/>
          <w:sz w:val="21"/>
          <w:szCs w:val="21"/>
        </w:rPr>
      </w:pPr>
      <w:r>
        <w:rPr>
          <w:rFonts w:hint="eastAsia" w:ascii="微软雅黑" w:hAnsi="微软雅黑" w:eastAsia="微软雅黑" w:cs="Arial"/>
          <w:color w:val="0D0D0D"/>
          <w:sz w:val="21"/>
          <w:szCs w:val="21"/>
        </w:rPr>
        <w:t>强烈不建议压缩课时！</w:t>
      </w:r>
    </w:p>
    <w:p>
      <w:pPr>
        <w:widowControl/>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602429"/>
    <w:multiLevelType w:val="multilevel"/>
    <w:tmpl w:val="516024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5F917BE5"/>
    <w:multiLevelType w:val="multilevel"/>
    <w:tmpl w:val="5F917BE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4E7533"/>
    <w:rsid w:val="784E7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Hyperlink"/>
    <w:basedOn w:val="4"/>
    <w:unhideWhenUsed/>
    <w:uiPriority w:val="99"/>
    <w:rPr>
      <w:color w:val="0563C1" w:themeColor="hyperlink"/>
      <w:u w:val="single"/>
      <w14:textFill>
        <w14:solidFill>
          <w14:schemeClr w14:val="hlink"/>
        </w14:solidFill>
      </w14:textFill>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diagramColors" Target="diagrams/colors1.xml"/><Relationship Id="rId6" Type="http://schemas.openxmlformats.org/officeDocument/2006/relationships/diagramQuickStyle" Target="diagrams/quickStyle1.xml"/><Relationship Id="rId5" Type="http://schemas.openxmlformats.org/officeDocument/2006/relationships/diagramLayout" Target="diagrams/layout1.xml"/><Relationship Id="rId4" Type="http://schemas.openxmlformats.org/officeDocument/2006/relationships/diagramData" Target="diagrams/data1.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B4D284-2DB7-4D19-A7C0-804CC81D620E}" type="doc">
      <dgm:prSet loTypeId="urn:microsoft.com/office/officeart/2005/8/layout/hProcess9" loCatId="process" qsTypeId="urn:microsoft.com/office/officeart/2005/8/quickstyle/simple1" qsCatId="simple" csTypeId="urn:microsoft.com/office/officeart/2005/8/colors/colorful4" csCatId="colorful" phldr="1"/>
      <dgm:spPr/>
    </dgm:pt>
    <dgm:pt modelId="{F574788B-C715-4767-9867-2520358F78FF}">
      <dgm:prSet phldrT="[文本]" custT="1"/>
      <dgm:spPr/>
      <dgm:t>
        <a:bodyPr/>
        <a:p>
          <a:r>
            <a:rPr lang="zh-CN" altLang="en-US" sz="1000">
              <a:latin typeface="微软雅黑" panose="020B0503020204020204" pitchFamily="2" charset="-122"/>
              <a:ea typeface="微软雅黑" panose="020B0503020204020204" pitchFamily="2" charset="-122"/>
            </a:rPr>
            <a:t>战略定位</a:t>
          </a:r>
        </a:p>
      </dgm:t>
    </dgm:pt>
    <dgm:pt modelId="{24BED1C0-25EC-47CC-965E-3E1472466F74}" cxnId="{19733F5A-C507-4BA8-ACE5-EC0795286D2E}" type="parTrans">
      <dgm:prSet/>
      <dgm:spPr/>
      <dgm:t>
        <a:bodyPr/>
        <a:p>
          <a:endParaRPr lang="zh-CN" altLang="en-US"/>
        </a:p>
      </dgm:t>
    </dgm:pt>
    <dgm:pt modelId="{7C094CBA-9EF4-4D21-B90D-FB3FB335ADC9}" cxnId="{19733F5A-C507-4BA8-ACE5-EC0795286D2E}" type="sibTrans">
      <dgm:prSet/>
      <dgm:spPr/>
      <dgm:t>
        <a:bodyPr/>
        <a:p>
          <a:endParaRPr lang="zh-CN" altLang="en-US"/>
        </a:p>
      </dgm:t>
    </dgm:pt>
    <dgm:pt modelId="{9489C780-6C52-450B-A045-8C89E883CD3B}">
      <dgm:prSet phldrT="[文本]" custT="1"/>
      <dgm:spPr/>
      <dgm:t>
        <a:bodyPr/>
        <a:p>
          <a:r>
            <a:rPr lang="zh-CN" altLang="en-US" sz="1000">
              <a:latin typeface="微软雅黑" panose="020B0503020204020204" pitchFamily="2" charset="-122"/>
              <a:ea typeface="微软雅黑" panose="020B0503020204020204" pitchFamily="2" charset="-122"/>
            </a:rPr>
            <a:t>客户争夺</a:t>
          </a:r>
        </a:p>
      </dgm:t>
    </dgm:pt>
    <dgm:pt modelId="{BBDF5365-5DDC-466D-B957-0C0DB151F730}" cxnId="{457ABEAD-9015-49C9-AF9A-280790C361F1}" type="parTrans">
      <dgm:prSet/>
      <dgm:spPr/>
      <dgm:t>
        <a:bodyPr/>
        <a:p>
          <a:endParaRPr lang="zh-CN" altLang="en-US"/>
        </a:p>
      </dgm:t>
    </dgm:pt>
    <dgm:pt modelId="{D00FCC94-FACE-4DF7-BA77-8BEBD3E838CA}" cxnId="{457ABEAD-9015-49C9-AF9A-280790C361F1}" type="sibTrans">
      <dgm:prSet/>
      <dgm:spPr/>
      <dgm:t>
        <a:bodyPr/>
        <a:p>
          <a:endParaRPr lang="zh-CN" altLang="en-US"/>
        </a:p>
      </dgm:t>
    </dgm:pt>
    <dgm:pt modelId="{473C5955-0274-4262-8F41-7AB53C0AFC43}">
      <dgm:prSet phldrT="[文本]" custT="1"/>
      <dgm:spPr/>
      <dgm:t>
        <a:bodyPr/>
        <a:p>
          <a:r>
            <a:rPr lang="zh-CN" altLang="en-US" sz="1000">
              <a:latin typeface="微软雅黑" panose="020B0503020204020204" pitchFamily="2" charset="-122"/>
              <a:ea typeface="微软雅黑" panose="020B0503020204020204" pitchFamily="2" charset="-122"/>
            </a:rPr>
            <a:t>年中推演</a:t>
          </a:r>
        </a:p>
      </dgm:t>
    </dgm:pt>
    <dgm:pt modelId="{E157F068-385A-4864-8ED3-0B7C385EBD3C}" cxnId="{579D59C8-8527-4E36-93A6-C03D66436173}" type="parTrans">
      <dgm:prSet/>
      <dgm:spPr/>
      <dgm:t>
        <a:bodyPr/>
        <a:p>
          <a:endParaRPr lang="zh-CN" altLang="en-US"/>
        </a:p>
      </dgm:t>
    </dgm:pt>
    <dgm:pt modelId="{7D8C89FC-A75E-4B11-8CE0-F4E7281A956E}" cxnId="{579D59C8-8527-4E36-93A6-C03D66436173}" type="sibTrans">
      <dgm:prSet/>
      <dgm:spPr/>
      <dgm:t>
        <a:bodyPr/>
        <a:p>
          <a:endParaRPr lang="zh-CN" altLang="en-US"/>
        </a:p>
      </dgm:t>
    </dgm:pt>
    <dgm:pt modelId="{810AD6E1-E252-4A81-A2BA-4D9B73EBCFF4}">
      <dgm:prSet phldrT="[文本]" custT="1"/>
      <dgm:spPr/>
      <dgm:t>
        <a:bodyPr/>
        <a:p>
          <a:r>
            <a:rPr lang="zh-CN" altLang="en-US" sz="800">
              <a:latin typeface="微软雅黑" panose="020B0503020204020204" pitchFamily="2" charset="-122"/>
              <a:ea typeface="微软雅黑" panose="020B0503020204020204" pitchFamily="2" charset="-122"/>
            </a:rPr>
            <a:t>为客户服务</a:t>
          </a:r>
        </a:p>
      </dgm:t>
    </dgm:pt>
    <dgm:pt modelId="{2ABC6C48-C511-410F-A392-2AECABD5A6D0}" cxnId="{1A5FA679-AA6C-4066-B7B9-990DF7385F9F}" type="parTrans">
      <dgm:prSet/>
      <dgm:spPr/>
      <dgm:t>
        <a:bodyPr/>
        <a:p>
          <a:endParaRPr lang="zh-CN" altLang="en-US"/>
        </a:p>
      </dgm:t>
    </dgm:pt>
    <dgm:pt modelId="{AF85E93F-E6A1-488E-85FF-DEDBF9224E37}" cxnId="{1A5FA679-AA6C-4066-B7B9-990DF7385F9F}" type="sibTrans">
      <dgm:prSet/>
      <dgm:spPr/>
      <dgm:t>
        <a:bodyPr/>
        <a:p>
          <a:endParaRPr lang="zh-CN" altLang="en-US"/>
        </a:p>
      </dgm:t>
    </dgm:pt>
    <dgm:pt modelId="{8646E66C-89F2-49A7-A7D1-818DBA38173E}">
      <dgm:prSet phldrT="[文本]" custT="1"/>
      <dgm:spPr/>
      <dgm:t>
        <a:bodyPr/>
        <a:p>
          <a:r>
            <a:rPr lang="zh-CN" altLang="en-US" sz="800">
              <a:latin typeface="微软雅黑" panose="020B0503020204020204" pitchFamily="2" charset="-122"/>
              <a:ea typeface="微软雅黑" panose="020B0503020204020204" pitchFamily="2" charset="-122"/>
            </a:rPr>
            <a:t>研发新产品</a:t>
          </a:r>
        </a:p>
      </dgm:t>
    </dgm:pt>
    <dgm:pt modelId="{405DE2B9-FAAB-4B6D-8A83-BDF618EBB28B}" cxnId="{2543547C-04DB-4D9A-BA74-A3DB10E5286C}" type="parTrans">
      <dgm:prSet/>
      <dgm:spPr/>
      <dgm:t>
        <a:bodyPr/>
        <a:p>
          <a:endParaRPr lang="zh-CN" altLang="en-US"/>
        </a:p>
      </dgm:t>
    </dgm:pt>
    <dgm:pt modelId="{4DBD314E-6EAF-42AC-B6BC-F7C244A5C7C5}" cxnId="{2543547C-04DB-4D9A-BA74-A3DB10E5286C}" type="sibTrans">
      <dgm:prSet/>
      <dgm:spPr/>
      <dgm:t>
        <a:bodyPr/>
        <a:p>
          <a:endParaRPr lang="zh-CN" altLang="en-US"/>
        </a:p>
      </dgm:t>
    </dgm:pt>
    <dgm:pt modelId="{909BB2B3-DBC0-45C0-8CB4-8679ABFD4BAD}">
      <dgm:prSet phldrT="[文本]" custT="1"/>
      <dgm:spPr/>
      <dgm:t>
        <a:bodyPr/>
        <a:p>
          <a:r>
            <a:rPr lang="zh-CN" altLang="en-US" sz="800">
              <a:latin typeface="微软雅黑" panose="020B0503020204020204" pitchFamily="2" charset="-122"/>
              <a:ea typeface="微软雅黑" panose="020B0503020204020204" pitchFamily="2" charset="-122"/>
            </a:rPr>
            <a:t>员工培训发展</a:t>
          </a:r>
        </a:p>
      </dgm:t>
    </dgm:pt>
    <dgm:pt modelId="{4C8C3716-6AFA-4670-A1D0-BFEAEA1A4FF3}" cxnId="{4EECA1FF-3097-4D53-95FC-4F17905BDD6A}" type="parTrans">
      <dgm:prSet/>
      <dgm:spPr/>
      <dgm:t>
        <a:bodyPr/>
        <a:p>
          <a:endParaRPr lang="zh-CN" altLang="en-US"/>
        </a:p>
      </dgm:t>
    </dgm:pt>
    <dgm:pt modelId="{02CECDE7-F3F5-40BB-B86E-E87D5ECA3D4E}" cxnId="{4EECA1FF-3097-4D53-95FC-4F17905BDD6A}" type="sibTrans">
      <dgm:prSet/>
      <dgm:spPr/>
      <dgm:t>
        <a:bodyPr/>
        <a:p>
          <a:endParaRPr lang="zh-CN" altLang="en-US"/>
        </a:p>
      </dgm:t>
    </dgm:pt>
    <dgm:pt modelId="{744140B4-596A-49A1-A023-2F4DEB3D2705}">
      <dgm:prSet phldrT="[文本]" custT="1"/>
      <dgm:spPr/>
      <dgm:t>
        <a:bodyPr/>
        <a:p>
          <a:r>
            <a:rPr lang="zh-CN" altLang="en-US" sz="1000">
              <a:latin typeface="微软雅黑" panose="020B0503020204020204" pitchFamily="2" charset="-122"/>
              <a:ea typeface="微软雅黑" panose="020B0503020204020204" pitchFamily="2" charset="-122"/>
            </a:rPr>
            <a:t>年底结算</a:t>
          </a:r>
        </a:p>
      </dgm:t>
    </dgm:pt>
    <dgm:pt modelId="{F6B13A1B-7F17-4ACC-BCEC-06AEFFBB7DBD}" cxnId="{85DE491F-AA8A-4229-A2A1-E17200156A05}" type="parTrans">
      <dgm:prSet/>
      <dgm:spPr/>
      <dgm:t>
        <a:bodyPr/>
        <a:p>
          <a:endParaRPr lang="zh-CN" altLang="en-US"/>
        </a:p>
      </dgm:t>
    </dgm:pt>
    <dgm:pt modelId="{6C6A8961-0B07-4811-9F03-B80C53A6ABF6}" cxnId="{85DE491F-AA8A-4229-A2A1-E17200156A05}" type="sibTrans">
      <dgm:prSet/>
      <dgm:spPr/>
      <dgm:t>
        <a:bodyPr/>
        <a:p>
          <a:endParaRPr lang="zh-CN" altLang="en-US"/>
        </a:p>
      </dgm:t>
    </dgm:pt>
    <dgm:pt modelId="{6C9BFE54-80F1-43D5-8EA9-57D625C67635}">
      <dgm:prSet phldrT="[文本]" custT="1"/>
      <dgm:spPr/>
      <dgm:t>
        <a:bodyPr/>
        <a:p>
          <a:r>
            <a:rPr lang="zh-CN" altLang="en-US" sz="800">
              <a:latin typeface="微软雅黑" panose="020B0503020204020204" pitchFamily="2" charset="-122"/>
              <a:ea typeface="微软雅黑" panose="020B0503020204020204" pitchFamily="2" charset="-122"/>
            </a:rPr>
            <a:t>制定发展战略</a:t>
          </a:r>
        </a:p>
      </dgm:t>
    </dgm:pt>
    <dgm:pt modelId="{B1A68AFC-7FA1-4954-8BFA-8FAB88EB1DAB}" cxnId="{34B40240-7665-408A-8C2B-1A42C4B37526}" type="parTrans">
      <dgm:prSet/>
      <dgm:spPr/>
      <dgm:t>
        <a:bodyPr/>
        <a:p>
          <a:endParaRPr lang="zh-CN" altLang="en-US"/>
        </a:p>
      </dgm:t>
    </dgm:pt>
    <dgm:pt modelId="{11990DF2-6405-4012-9426-76BD5405D522}" cxnId="{34B40240-7665-408A-8C2B-1A42C4B37526}" type="sibTrans">
      <dgm:prSet/>
      <dgm:spPr/>
      <dgm:t>
        <a:bodyPr/>
        <a:p>
          <a:endParaRPr lang="zh-CN" altLang="en-US"/>
        </a:p>
      </dgm:t>
    </dgm:pt>
    <dgm:pt modelId="{1154536C-0A92-4A79-8046-F0E8B6F5869F}">
      <dgm:prSet phldrT="[文本]" custT="1"/>
      <dgm:spPr/>
      <dgm:t>
        <a:bodyPr/>
        <a:p>
          <a:r>
            <a:rPr lang="zh-CN" altLang="en-US" sz="800">
              <a:latin typeface="微软雅黑" panose="020B0503020204020204" pitchFamily="2" charset="-122"/>
              <a:ea typeface="微软雅黑" panose="020B0503020204020204" pitchFamily="2" charset="-122"/>
            </a:rPr>
            <a:t>编制预算</a:t>
          </a:r>
        </a:p>
      </dgm:t>
    </dgm:pt>
    <dgm:pt modelId="{0834EBEA-A9E9-47AE-915B-049A9FB9825B}" cxnId="{AAC39B5A-F3B2-4B0D-89AE-9693D0B6691A}" type="parTrans">
      <dgm:prSet/>
      <dgm:spPr/>
      <dgm:t>
        <a:bodyPr/>
        <a:p>
          <a:endParaRPr lang="zh-CN" altLang="en-US"/>
        </a:p>
      </dgm:t>
    </dgm:pt>
    <dgm:pt modelId="{3C6CD5A9-F1D1-41B8-96CC-448E3E6163E1}" cxnId="{AAC39B5A-F3B2-4B0D-89AE-9693D0B6691A}" type="sibTrans">
      <dgm:prSet/>
      <dgm:spPr/>
      <dgm:t>
        <a:bodyPr/>
        <a:p>
          <a:endParaRPr lang="zh-CN" altLang="en-US"/>
        </a:p>
      </dgm:t>
    </dgm:pt>
    <dgm:pt modelId="{AC0EA23C-49AE-49AC-B2F9-9D7CBB50336F}">
      <dgm:prSet phldrT="[文本]" custT="1"/>
      <dgm:spPr/>
      <dgm:t>
        <a:bodyPr/>
        <a:p>
          <a:r>
            <a:rPr lang="zh-CN" altLang="en-US" sz="800">
              <a:latin typeface="微软雅黑" panose="020B0503020204020204" pitchFamily="2" charset="-122"/>
              <a:ea typeface="微软雅黑" panose="020B0503020204020204" pitchFamily="2" charset="-122"/>
            </a:rPr>
            <a:t>资产负债表</a:t>
          </a:r>
        </a:p>
      </dgm:t>
    </dgm:pt>
    <dgm:pt modelId="{CFEAF106-EBE8-4374-8089-769E8A8AD0CC}" cxnId="{0C840498-9C32-4176-9967-6CACDE34B5D3}" type="parTrans">
      <dgm:prSet/>
      <dgm:spPr/>
      <dgm:t>
        <a:bodyPr/>
        <a:p>
          <a:endParaRPr lang="zh-CN" altLang="en-US"/>
        </a:p>
      </dgm:t>
    </dgm:pt>
    <dgm:pt modelId="{D8E1C061-C628-423A-B431-2BAB86ED00FE}" cxnId="{0C840498-9C32-4176-9967-6CACDE34B5D3}" type="sibTrans">
      <dgm:prSet/>
      <dgm:spPr/>
      <dgm:t>
        <a:bodyPr/>
        <a:p>
          <a:endParaRPr lang="zh-CN" altLang="en-US"/>
        </a:p>
      </dgm:t>
    </dgm:pt>
    <dgm:pt modelId="{6143351F-DF7E-4F0B-B5E5-3E1335BC845A}">
      <dgm:prSet phldrT="[文本]" custT="1"/>
      <dgm:spPr/>
      <dgm:t>
        <a:bodyPr/>
        <a:p>
          <a:r>
            <a:rPr lang="zh-CN" altLang="en-US" sz="800">
              <a:latin typeface="微软雅黑" panose="020B0503020204020204" pitchFamily="2" charset="-122"/>
              <a:ea typeface="微软雅黑" panose="020B0503020204020204" pitchFamily="2" charset="-122"/>
            </a:rPr>
            <a:t>损益表</a:t>
          </a:r>
        </a:p>
      </dgm:t>
    </dgm:pt>
    <dgm:pt modelId="{524555AB-1816-43B8-A48E-D05A052C4AFD}" cxnId="{2847E43A-FECC-4953-B51E-51F8FCEC2069}" type="parTrans">
      <dgm:prSet/>
      <dgm:spPr/>
      <dgm:t>
        <a:bodyPr/>
        <a:p>
          <a:endParaRPr lang="zh-CN" altLang="en-US"/>
        </a:p>
      </dgm:t>
    </dgm:pt>
    <dgm:pt modelId="{91BAC3AD-2111-4656-BFAC-B2596D653B58}" cxnId="{2847E43A-FECC-4953-B51E-51F8FCEC2069}" type="sibTrans">
      <dgm:prSet/>
      <dgm:spPr/>
      <dgm:t>
        <a:bodyPr/>
        <a:p>
          <a:endParaRPr lang="zh-CN" altLang="en-US"/>
        </a:p>
      </dgm:t>
    </dgm:pt>
    <dgm:pt modelId="{A97DF6AF-0496-4277-9E78-A5E275990EEB}">
      <dgm:prSet phldrT="[文本]" custT="1"/>
      <dgm:spPr/>
      <dgm:t>
        <a:bodyPr/>
        <a:p>
          <a:r>
            <a:rPr lang="zh-CN" altLang="en-US" sz="800">
              <a:latin typeface="微软雅黑" panose="020B0503020204020204" pitchFamily="2" charset="-122"/>
              <a:ea typeface="微软雅黑" panose="020B0503020204020204" pitchFamily="2" charset="-122"/>
            </a:rPr>
            <a:t>无形资产表</a:t>
          </a:r>
        </a:p>
      </dgm:t>
    </dgm:pt>
    <dgm:pt modelId="{5A3A7862-36D5-4A4D-9139-B565397158D2}" cxnId="{82D8F772-2AD4-4ED2-B538-AF755AF09AE5}" type="parTrans">
      <dgm:prSet/>
      <dgm:spPr/>
      <dgm:t>
        <a:bodyPr/>
        <a:p>
          <a:endParaRPr lang="zh-CN" altLang="en-US"/>
        </a:p>
      </dgm:t>
    </dgm:pt>
    <dgm:pt modelId="{1FB419ED-C771-416E-AF1C-15F79A1DF229}" cxnId="{82D8F772-2AD4-4ED2-B538-AF755AF09AE5}" type="sibTrans">
      <dgm:prSet/>
      <dgm:spPr/>
      <dgm:t>
        <a:bodyPr/>
        <a:p>
          <a:endParaRPr lang="zh-CN" altLang="en-US"/>
        </a:p>
      </dgm:t>
    </dgm:pt>
    <dgm:pt modelId="{1CF87159-2FD8-47ED-B847-4E6A930DB109}">
      <dgm:prSet phldrT="[文本]" custT="1"/>
      <dgm:spPr/>
      <dgm:t>
        <a:bodyPr/>
        <a:p>
          <a:r>
            <a:rPr lang="zh-CN" altLang="en-US" sz="1000">
              <a:latin typeface="微软雅黑" panose="020B0503020204020204" pitchFamily="2" charset="-122"/>
              <a:ea typeface="微软雅黑" panose="020B0503020204020204" pitchFamily="2" charset="-122"/>
            </a:rPr>
            <a:t>员工招聘</a:t>
          </a:r>
        </a:p>
      </dgm:t>
    </dgm:pt>
    <dgm:pt modelId="{D4857D6E-1E64-483D-9466-E798937BFF75}" cxnId="{C01A6C65-0BA4-40DA-B48B-F00A24E4141D}" type="sibTrans">
      <dgm:prSet/>
      <dgm:spPr/>
      <dgm:t>
        <a:bodyPr/>
        <a:p>
          <a:endParaRPr lang="zh-CN" altLang="en-US"/>
        </a:p>
      </dgm:t>
    </dgm:pt>
    <dgm:pt modelId="{12E12205-236E-4A94-AC7C-8149692C9617}" cxnId="{C01A6C65-0BA4-40DA-B48B-F00A24E4141D}" type="parTrans">
      <dgm:prSet/>
      <dgm:spPr/>
      <dgm:t>
        <a:bodyPr/>
        <a:p>
          <a:endParaRPr lang="zh-CN" altLang="en-US"/>
        </a:p>
      </dgm:t>
    </dgm:pt>
    <dgm:pt modelId="{60184D08-0664-4981-9848-D44B7688862E}">
      <dgm:prSet phldrT="[文本]" custT="1"/>
      <dgm:spPr/>
      <dgm:t>
        <a:bodyPr/>
        <a:p>
          <a:r>
            <a:rPr lang="zh-CN" altLang="en-US" sz="800">
              <a:latin typeface="微软雅黑" panose="020B0503020204020204" pitchFamily="2" charset="-122"/>
              <a:ea typeface="微软雅黑" panose="020B0503020204020204" pitchFamily="2" charset="-122"/>
            </a:rPr>
            <a:t>市场招聘</a:t>
          </a:r>
        </a:p>
      </dgm:t>
    </dgm:pt>
    <dgm:pt modelId="{DF5F66F2-385A-4D59-9ACC-39C4518ED614}" cxnId="{78E2899B-A676-4ABD-AF05-3036EC618B66}" type="parTrans">
      <dgm:prSet/>
      <dgm:spPr/>
      <dgm:t>
        <a:bodyPr/>
        <a:p>
          <a:endParaRPr lang="zh-CN" altLang="en-US"/>
        </a:p>
      </dgm:t>
    </dgm:pt>
    <dgm:pt modelId="{31E8E9AA-204E-40E5-BA08-E949D6086723}" cxnId="{78E2899B-A676-4ABD-AF05-3036EC618B66}" type="sibTrans">
      <dgm:prSet/>
      <dgm:spPr/>
      <dgm:t>
        <a:bodyPr/>
        <a:p>
          <a:endParaRPr lang="zh-CN" altLang="en-US"/>
        </a:p>
      </dgm:t>
    </dgm:pt>
    <dgm:pt modelId="{109B79D1-BD72-4FFB-9E6D-0C0185379B89}">
      <dgm:prSet phldrT="[文本]" custT="1"/>
      <dgm:spPr/>
      <dgm:t>
        <a:bodyPr/>
        <a:p>
          <a:r>
            <a:rPr lang="zh-CN" altLang="en-US" sz="800">
              <a:latin typeface="微软雅黑" panose="020B0503020204020204" pitchFamily="2" charset="-122"/>
              <a:ea typeface="微软雅黑" panose="020B0503020204020204" pitchFamily="2" charset="-122"/>
            </a:rPr>
            <a:t>猎头</a:t>
          </a:r>
        </a:p>
      </dgm:t>
    </dgm:pt>
    <dgm:pt modelId="{BAF7FEDA-9267-4392-802B-26BBE670BFF6}" cxnId="{83130F58-A26B-4544-A422-706DE5639413}" type="parTrans">
      <dgm:prSet/>
      <dgm:spPr/>
      <dgm:t>
        <a:bodyPr/>
        <a:p>
          <a:endParaRPr lang="zh-CN" altLang="en-US"/>
        </a:p>
      </dgm:t>
    </dgm:pt>
    <dgm:pt modelId="{E0806847-005B-4E84-8231-0D7870D5A8CC}" cxnId="{83130F58-A26B-4544-A422-706DE5639413}" type="sibTrans">
      <dgm:prSet/>
      <dgm:spPr/>
      <dgm:t>
        <a:bodyPr/>
        <a:p>
          <a:endParaRPr lang="zh-CN" altLang="en-US"/>
        </a:p>
      </dgm:t>
    </dgm:pt>
    <dgm:pt modelId="{1BF78185-312F-44D0-B5C6-E386F1508930}">
      <dgm:prSet phldrT="[文本]" custT="1"/>
      <dgm:spPr/>
      <dgm:t>
        <a:bodyPr/>
        <a:p>
          <a:r>
            <a:rPr lang="zh-CN" altLang="en-US" sz="800">
              <a:latin typeface="微软雅黑" panose="020B0503020204020204" pitchFamily="2" charset="-122"/>
              <a:ea typeface="微软雅黑" panose="020B0503020204020204" pitchFamily="2" charset="-122"/>
            </a:rPr>
            <a:t>市场竞标</a:t>
          </a:r>
        </a:p>
      </dgm:t>
    </dgm:pt>
    <dgm:pt modelId="{D65F5F3B-0AFF-4AD0-8B35-8AD78063CE82}" cxnId="{81F1F61E-8588-4B46-8D3F-B70F3C1806AE}" type="parTrans">
      <dgm:prSet/>
      <dgm:spPr/>
      <dgm:t>
        <a:bodyPr/>
        <a:p>
          <a:endParaRPr lang="zh-CN" altLang="en-US"/>
        </a:p>
      </dgm:t>
    </dgm:pt>
    <dgm:pt modelId="{22C8B272-936A-45C6-A3CD-847664FC61FA}" cxnId="{81F1F61E-8588-4B46-8D3F-B70F3C1806AE}" type="sibTrans">
      <dgm:prSet/>
      <dgm:spPr/>
      <dgm:t>
        <a:bodyPr/>
        <a:p>
          <a:endParaRPr lang="zh-CN" altLang="en-US"/>
        </a:p>
      </dgm:t>
    </dgm:pt>
    <dgm:pt modelId="{06AD8211-4802-4E67-A1E4-12A2D43DE88E}">
      <dgm:prSet phldrT="[文本]" custT="1"/>
      <dgm:spPr/>
      <dgm:t>
        <a:bodyPr/>
        <a:p>
          <a:r>
            <a:rPr lang="zh-CN" altLang="en-US" sz="800">
              <a:latin typeface="微软雅黑" panose="020B0503020204020204" pitchFamily="2" charset="-122"/>
              <a:ea typeface="微软雅黑" panose="020B0503020204020204" pitchFamily="2" charset="-122"/>
            </a:rPr>
            <a:t>猎客</a:t>
          </a:r>
        </a:p>
      </dgm:t>
    </dgm:pt>
    <dgm:pt modelId="{AE634582-DA55-43D7-9C7C-74123DF4D774}" cxnId="{F01346DF-8AA1-4C28-9B55-A676E7B111FA}" type="parTrans">
      <dgm:prSet/>
      <dgm:spPr/>
      <dgm:t>
        <a:bodyPr/>
        <a:p>
          <a:endParaRPr lang="zh-CN" altLang="en-US"/>
        </a:p>
      </dgm:t>
    </dgm:pt>
    <dgm:pt modelId="{3FD815E1-9776-4957-A8AA-19B10734366E}" cxnId="{F01346DF-8AA1-4C28-9B55-A676E7B111FA}" type="sibTrans">
      <dgm:prSet/>
      <dgm:spPr/>
      <dgm:t>
        <a:bodyPr/>
        <a:p>
          <a:endParaRPr lang="zh-CN" altLang="en-US"/>
        </a:p>
      </dgm:t>
    </dgm:pt>
    <dgm:pt modelId="{2501BD3A-071C-4C51-B754-8B6D8DDA4B9E}" type="pres">
      <dgm:prSet presAssocID="{49B4D284-2DB7-4D19-A7C0-804CC81D620E}" presName="CompostProcess" presStyleCnt="0">
        <dgm:presLayoutVars>
          <dgm:dir/>
          <dgm:resizeHandles val="exact"/>
        </dgm:presLayoutVars>
      </dgm:prSet>
      <dgm:spPr/>
    </dgm:pt>
    <dgm:pt modelId="{1C694CB9-9F28-4C64-B44A-6B98F3FF95E5}" type="pres">
      <dgm:prSet presAssocID="{49B4D284-2DB7-4D19-A7C0-804CC81D620E}" presName="arrow" presStyleLbl="bgShp" presStyleIdx="0" presStyleCnt="1"/>
      <dgm:spPr/>
    </dgm:pt>
    <dgm:pt modelId="{C0CD70AB-209C-47A5-9B29-E4F50D17EC8D}" type="pres">
      <dgm:prSet presAssocID="{49B4D284-2DB7-4D19-A7C0-804CC81D620E}" presName="linearProcess" presStyleCnt="0"/>
      <dgm:spPr/>
    </dgm:pt>
    <dgm:pt modelId="{12C9AAF4-15CE-475F-8DEB-BFA6D99EB3AC}" type="pres">
      <dgm:prSet presAssocID="{F574788B-C715-4767-9867-2520358F78FF}" presName="textNode" presStyleLbl="node1" presStyleIdx="0" presStyleCnt="5">
        <dgm:presLayoutVars>
          <dgm:bulletEnabled val="1"/>
        </dgm:presLayoutVars>
      </dgm:prSet>
      <dgm:spPr/>
    </dgm:pt>
    <dgm:pt modelId="{AC662307-B1CD-4F16-88B5-EBEB67FECF0F}" type="pres">
      <dgm:prSet presAssocID="{7C094CBA-9EF4-4D21-B90D-FB3FB335ADC9}" presName="sibTrans" presStyleCnt="0"/>
      <dgm:spPr/>
    </dgm:pt>
    <dgm:pt modelId="{AA10C565-77C2-4F1F-82B0-B21C48F267B0}" type="pres">
      <dgm:prSet presAssocID="{9489C780-6C52-450B-A045-8C89E883CD3B}" presName="textNode" presStyleLbl="node1" presStyleIdx="1" presStyleCnt="5">
        <dgm:presLayoutVars>
          <dgm:bulletEnabled val="1"/>
        </dgm:presLayoutVars>
      </dgm:prSet>
      <dgm:spPr/>
    </dgm:pt>
    <dgm:pt modelId="{98BF7315-ABA5-418C-83AF-6F1034ADF49C}" type="pres">
      <dgm:prSet presAssocID="{D00FCC94-FACE-4DF7-BA77-8BEBD3E838CA}" presName="sibTrans" presStyleCnt="0"/>
      <dgm:spPr/>
    </dgm:pt>
    <dgm:pt modelId="{42366114-6A9E-4A43-9562-D5DD9AC366D8}" type="pres">
      <dgm:prSet presAssocID="{1CF87159-2FD8-47ED-B847-4E6A930DB109}" presName="textNode" presStyleLbl="node1" presStyleIdx="2" presStyleCnt="5">
        <dgm:presLayoutVars>
          <dgm:bulletEnabled val="1"/>
        </dgm:presLayoutVars>
      </dgm:prSet>
      <dgm:spPr/>
    </dgm:pt>
    <dgm:pt modelId="{42A806F4-A303-4F04-901C-B1145AD5CE87}" type="pres">
      <dgm:prSet presAssocID="{D4857D6E-1E64-483D-9466-E798937BFF75}" presName="sibTrans" presStyleCnt="0"/>
      <dgm:spPr/>
    </dgm:pt>
    <dgm:pt modelId="{C02D7C7C-9D28-4DDD-A5CA-B4C4E30B9392}" type="pres">
      <dgm:prSet presAssocID="{473C5955-0274-4262-8F41-7AB53C0AFC43}" presName="textNode" presStyleLbl="node1" presStyleIdx="3" presStyleCnt="5">
        <dgm:presLayoutVars>
          <dgm:bulletEnabled val="1"/>
        </dgm:presLayoutVars>
      </dgm:prSet>
      <dgm:spPr/>
    </dgm:pt>
    <dgm:pt modelId="{A691C202-4646-4A04-A23E-4728AA08E5DB}" type="pres">
      <dgm:prSet presAssocID="{7D8C89FC-A75E-4B11-8CE0-F4E7281A956E}" presName="sibTrans" presStyleCnt="0"/>
      <dgm:spPr/>
    </dgm:pt>
    <dgm:pt modelId="{1CF865C3-62DD-4051-9BEF-DEDD2BF6799B}" type="pres">
      <dgm:prSet presAssocID="{744140B4-596A-49A1-A023-2F4DEB3D2705}" presName="textNode" presStyleLbl="node1" presStyleIdx="4" presStyleCnt="5">
        <dgm:presLayoutVars>
          <dgm:bulletEnabled val="1"/>
        </dgm:presLayoutVars>
      </dgm:prSet>
      <dgm:spPr/>
    </dgm:pt>
  </dgm:ptLst>
  <dgm:cxnLst>
    <dgm:cxn modelId="{81F1F61E-8588-4B46-8D3F-B70F3C1806AE}" srcId="{9489C780-6C52-450B-A045-8C89E883CD3B}" destId="{1BF78185-312F-44D0-B5C6-E386F1508930}" srcOrd="0" destOrd="0" parTransId="{D65F5F3B-0AFF-4AD0-8B35-8AD78063CE82}" sibTransId="{22C8B272-936A-45C6-A3CD-847664FC61FA}"/>
    <dgm:cxn modelId="{85DE491F-AA8A-4229-A2A1-E17200156A05}" srcId="{49B4D284-2DB7-4D19-A7C0-804CC81D620E}" destId="{744140B4-596A-49A1-A023-2F4DEB3D2705}" srcOrd="4" destOrd="0" parTransId="{F6B13A1B-7F17-4ACC-BCEC-06AEFFBB7DBD}" sibTransId="{6C6A8961-0B07-4811-9F03-B80C53A6ABF6}"/>
    <dgm:cxn modelId="{9917B737-9C05-496F-8169-5DD47DA4CD12}" type="presOf" srcId="{60184D08-0664-4981-9848-D44B7688862E}" destId="{42366114-6A9E-4A43-9562-D5DD9AC366D8}" srcOrd="0" destOrd="1" presId="urn:microsoft.com/office/officeart/2005/8/layout/hProcess9"/>
    <dgm:cxn modelId="{2847E43A-FECC-4953-B51E-51F8FCEC2069}" srcId="{744140B4-596A-49A1-A023-2F4DEB3D2705}" destId="{6143351F-DF7E-4F0B-B5E5-3E1335BC845A}" srcOrd="1" destOrd="0" parTransId="{524555AB-1816-43B8-A48E-D05A052C4AFD}" sibTransId="{91BAC3AD-2111-4656-BFAC-B2596D653B58}"/>
    <dgm:cxn modelId="{34B40240-7665-408A-8C2B-1A42C4B37526}" srcId="{F574788B-C715-4767-9867-2520358F78FF}" destId="{6C9BFE54-80F1-43D5-8EA9-57D625C67635}" srcOrd="0" destOrd="0" parTransId="{B1A68AFC-7FA1-4954-8BFA-8FAB88EB1DAB}" sibTransId="{11990DF2-6405-4012-9426-76BD5405D522}"/>
    <dgm:cxn modelId="{3A90F762-CC84-4217-967E-540F79C94C0D}" type="presOf" srcId="{8646E66C-89F2-49A7-A7D1-818DBA38173E}" destId="{C02D7C7C-9D28-4DDD-A5CA-B4C4E30B9392}" srcOrd="0" destOrd="2" presId="urn:microsoft.com/office/officeart/2005/8/layout/hProcess9"/>
    <dgm:cxn modelId="{C01A6C65-0BA4-40DA-B48B-F00A24E4141D}" srcId="{49B4D284-2DB7-4D19-A7C0-804CC81D620E}" destId="{1CF87159-2FD8-47ED-B847-4E6A930DB109}" srcOrd="2" destOrd="0" parTransId="{12E12205-236E-4A94-AC7C-8149692C9617}" sibTransId="{D4857D6E-1E64-483D-9466-E798937BFF75}"/>
    <dgm:cxn modelId="{B0334568-F9ED-47BF-A11C-33521954E3B2}" type="presOf" srcId="{1BF78185-312F-44D0-B5C6-E386F1508930}" destId="{AA10C565-77C2-4F1F-82B0-B21C48F267B0}" srcOrd="0" destOrd="1" presId="urn:microsoft.com/office/officeart/2005/8/layout/hProcess9"/>
    <dgm:cxn modelId="{6313ED6B-D4AA-48A4-90C4-F1699FE063E1}" type="presOf" srcId="{F574788B-C715-4767-9867-2520358F78FF}" destId="{12C9AAF4-15CE-475F-8DEB-BFA6D99EB3AC}" srcOrd="0" destOrd="0" presId="urn:microsoft.com/office/officeart/2005/8/layout/hProcess9"/>
    <dgm:cxn modelId="{2ACCDD6C-6747-4924-B933-F0C1D7B8BE5D}" type="presOf" srcId="{744140B4-596A-49A1-A023-2F4DEB3D2705}" destId="{1CF865C3-62DD-4051-9BEF-DEDD2BF6799B}" srcOrd="0" destOrd="0" presId="urn:microsoft.com/office/officeart/2005/8/layout/hProcess9"/>
    <dgm:cxn modelId="{4F7AAE6D-AD58-446B-AA29-F14C6F029DEC}" type="presOf" srcId="{473C5955-0274-4262-8F41-7AB53C0AFC43}" destId="{C02D7C7C-9D28-4DDD-A5CA-B4C4E30B9392}" srcOrd="0" destOrd="0" presId="urn:microsoft.com/office/officeart/2005/8/layout/hProcess9"/>
    <dgm:cxn modelId="{82D8F772-2AD4-4ED2-B538-AF755AF09AE5}" srcId="{744140B4-596A-49A1-A023-2F4DEB3D2705}" destId="{A97DF6AF-0496-4277-9E78-A5E275990EEB}" srcOrd="2" destOrd="0" parTransId="{5A3A7862-36D5-4A4D-9139-B565397158D2}" sibTransId="{1FB419ED-C771-416E-AF1C-15F79A1DF229}"/>
    <dgm:cxn modelId="{83130F58-A26B-4544-A422-706DE5639413}" srcId="{1CF87159-2FD8-47ED-B847-4E6A930DB109}" destId="{109B79D1-BD72-4FFB-9E6D-0C0185379B89}" srcOrd="1" destOrd="0" parTransId="{BAF7FEDA-9267-4392-802B-26BBE670BFF6}" sibTransId="{E0806847-005B-4E84-8231-0D7870D5A8CC}"/>
    <dgm:cxn modelId="{1A5FA679-AA6C-4066-B7B9-990DF7385F9F}" srcId="{473C5955-0274-4262-8F41-7AB53C0AFC43}" destId="{810AD6E1-E252-4A81-A2BA-4D9B73EBCFF4}" srcOrd="0" destOrd="0" parTransId="{2ABC6C48-C511-410F-A392-2AECABD5A6D0}" sibTransId="{AF85E93F-E6A1-488E-85FF-DEDBF9224E37}"/>
    <dgm:cxn modelId="{D162C659-09C2-4AA2-B763-249918D3BA4F}" type="presOf" srcId="{6C9BFE54-80F1-43D5-8EA9-57D625C67635}" destId="{12C9AAF4-15CE-475F-8DEB-BFA6D99EB3AC}" srcOrd="0" destOrd="1" presId="urn:microsoft.com/office/officeart/2005/8/layout/hProcess9"/>
    <dgm:cxn modelId="{19733F5A-C507-4BA8-ACE5-EC0795286D2E}" srcId="{49B4D284-2DB7-4D19-A7C0-804CC81D620E}" destId="{F574788B-C715-4767-9867-2520358F78FF}" srcOrd="0" destOrd="0" parTransId="{24BED1C0-25EC-47CC-965E-3E1472466F74}" sibTransId="{7C094CBA-9EF4-4D21-B90D-FB3FB335ADC9}"/>
    <dgm:cxn modelId="{AAC39B5A-F3B2-4B0D-89AE-9693D0B6691A}" srcId="{F574788B-C715-4767-9867-2520358F78FF}" destId="{1154536C-0A92-4A79-8046-F0E8B6F5869F}" srcOrd="1" destOrd="0" parTransId="{0834EBEA-A9E9-47AE-915B-049A9FB9825B}" sibTransId="{3C6CD5A9-F1D1-41B8-96CC-448E3E6163E1}"/>
    <dgm:cxn modelId="{2543547C-04DB-4D9A-BA74-A3DB10E5286C}" srcId="{473C5955-0274-4262-8F41-7AB53C0AFC43}" destId="{8646E66C-89F2-49A7-A7D1-818DBA38173E}" srcOrd="1" destOrd="0" parTransId="{405DE2B9-FAAB-4B6D-8A83-BDF618EBB28B}" sibTransId="{4DBD314E-6EAF-42AC-B6BC-F7C244A5C7C5}"/>
    <dgm:cxn modelId="{0FCB7B92-B57C-446E-9273-F3B714DF0502}" type="presOf" srcId="{A97DF6AF-0496-4277-9E78-A5E275990EEB}" destId="{1CF865C3-62DD-4051-9BEF-DEDD2BF6799B}" srcOrd="0" destOrd="3" presId="urn:microsoft.com/office/officeart/2005/8/layout/hProcess9"/>
    <dgm:cxn modelId="{1F43B492-53B3-4EB0-B4D8-F1D9A402BDFE}" type="presOf" srcId="{109B79D1-BD72-4FFB-9E6D-0C0185379B89}" destId="{42366114-6A9E-4A43-9562-D5DD9AC366D8}" srcOrd="0" destOrd="2" presId="urn:microsoft.com/office/officeart/2005/8/layout/hProcess9"/>
    <dgm:cxn modelId="{00114196-C264-4B95-BEF5-EFD5AC1CEE38}" type="presOf" srcId="{1154536C-0A92-4A79-8046-F0E8B6F5869F}" destId="{12C9AAF4-15CE-475F-8DEB-BFA6D99EB3AC}" srcOrd="0" destOrd="2" presId="urn:microsoft.com/office/officeart/2005/8/layout/hProcess9"/>
    <dgm:cxn modelId="{0C840498-9C32-4176-9967-6CACDE34B5D3}" srcId="{744140B4-596A-49A1-A023-2F4DEB3D2705}" destId="{AC0EA23C-49AE-49AC-B2F9-9D7CBB50336F}" srcOrd="0" destOrd="0" parTransId="{CFEAF106-EBE8-4374-8089-769E8A8AD0CC}" sibTransId="{D8E1C061-C628-423A-B431-2BAB86ED00FE}"/>
    <dgm:cxn modelId="{78E2899B-A676-4ABD-AF05-3036EC618B66}" srcId="{1CF87159-2FD8-47ED-B847-4E6A930DB109}" destId="{60184D08-0664-4981-9848-D44B7688862E}" srcOrd="0" destOrd="0" parTransId="{DF5F66F2-385A-4D59-9ACC-39C4518ED614}" sibTransId="{31E8E9AA-204E-40E5-BA08-E949D6086723}"/>
    <dgm:cxn modelId="{6874B8A5-40D1-4D03-BF78-53DB0AF184A9}" type="presOf" srcId="{909BB2B3-DBC0-45C0-8CB4-8679ABFD4BAD}" destId="{C02D7C7C-9D28-4DDD-A5CA-B4C4E30B9392}" srcOrd="0" destOrd="3" presId="urn:microsoft.com/office/officeart/2005/8/layout/hProcess9"/>
    <dgm:cxn modelId="{B25F7EA8-EC96-4D10-B540-69DACEA7596C}" type="presOf" srcId="{49B4D284-2DB7-4D19-A7C0-804CC81D620E}" destId="{2501BD3A-071C-4C51-B754-8B6D8DDA4B9E}" srcOrd="0" destOrd="0" presId="urn:microsoft.com/office/officeart/2005/8/layout/hProcess9"/>
    <dgm:cxn modelId="{457ABEAD-9015-49C9-AF9A-280790C361F1}" srcId="{49B4D284-2DB7-4D19-A7C0-804CC81D620E}" destId="{9489C780-6C52-450B-A045-8C89E883CD3B}" srcOrd="1" destOrd="0" parTransId="{BBDF5365-5DDC-466D-B957-0C0DB151F730}" sibTransId="{D00FCC94-FACE-4DF7-BA77-8BEBD3E838CA}"/>
    <dgm:cxn modelId="{9AADB0B5-BC81-47EA-B4CC-5C55FCA8908E}" type="presOf" srcId="{AC0EA23C-49AE-49AC-B2F9-9D7CBB50336F}" destId="{1CF865C3-62DD-4051-9BEF-DEDD2BF6799B}" srcOrd="0" destOrd="1" presId="urn:microsoft.com/office/officeart/2005/8/layout/hProcess9"/>
    <dgm:cxn modelId="{7C3542BC-A939-48DD-90BC-FC97D3CE5BB3}" type="presOf" srcId="{1CF87159-2FD8-47ED-B847-4E6A930DB109}" destId="{42366114-6A9E-4A43-9562-D5DD9AC366D8}" srcOrd="0" destOrd="0" presId="urn:microsoft.com/office/officeart/2005/8/layout/hProcess9"/>
    <dgm:cxn modelId="{579D59C8-8527-4E36-93A6-C03D66436173}" srcId="{49B4D284-2DB7-4D19-A7C0-804CC81D620E}" destId="{473C5955-0274-4262-8F41-7AB53C0AFC43}" srcOrd="3" destOrd="0" parTransId="{E157F068-385A-4864-8ED3-0B7C385EBD3C}" sibTransId="{7D8C89FC-A75E-4B11-8CE0-F4E7281A956E}"/>
    <dgm:cxn modelId="{D1EBA1CF-B956-4F35-935E-0DEFCCB5939C}" type="presOf" srcId="{6143351F-DF7E-4F0B-B5E5-3E1335BC845A}" destId="{1CF865C3-62DD-4051-9BEF-DEDD2BF6799B}" srcOrd="0" destOrd="2" presId="urn:microsoft.com/office/officeart/2005/8/layout/hProcess9"/>
    <dgm:cxn modelId="{B913B6DC-D38D-4CF9-9213-B3048AB271B3}" type="presOf" srcId="{810AD6E1-E252-4A81-A2BA-4D9B73EBCFF4}" destId="{C02D7C7C-9D28-4DDD-A5CA-B4C4E30B9392}" srcOrd="0" destOrd="1" presId="urn:microsoft.com/office/officeart/2005/8/layout/hProcess9"/>
    <dgm:cxn modelId="{F01346DF-8AA1-4C28-9B55-A676E7B111FA}" srcId="{9489C780-6C52-450B-A045-8C89E883CD3B}" destId="{06AD8211-4802-4E67-A1E4-12A2D43DE88E}" srcOrd="1" destOrd="0" parTransId="{AE634582-DA55-43D7-9C7C-74123DF4D774}" sibTransId="{3FD815E1-9776-4957-A8AA-19B10734366E}"/>
    <dgm:cxn modelId="{583BCEEB-465A-4253-8605-DAA5956ABA1F}" type="presOf" srcId="{9489C780-6C52-450B-A045-8C89E883CD3B}" destId="{AA10C565-77C2-4F1F-82B0-B21C48F267B0}" srcOrd="0" destOrd="0" presId="urn:microsoft.com/office/officeart/2005/8/layout/hProcess9"/>
    <dgm:cxn modelId="{92A61EEF-F22B-4E85-BCB5-2410DC10E21F}" type="presOf" srcId="{06AD8211-4802-4E67-A1E4-12A2D43DE88E}" destId="{AA10C565-77C2-4F1F-82B0-B21C48F267B0}" srcOrd="0" destOrd="2" presId="urn:microsoft.com/office/officeart/2005/8/layout/hProcess9"/>
    <dgm:cxn modelId="{4EECA1FF-3097-4D53-95FC-4F17905BDD6A}" srcId="{473C5955-0274-4262-8F41-7AB53C0AFC43}" destId="{909BB2B3-DBC0-45C0-8CB4-8679ABFD4BAD}" srcOrd="2" destOrd="0" parTransId="{4C8C3716-6AFA-4670-A1D0-BFEAEA1A4FF3}" sibTransId="{02CECDE7-F3F5-40BB-B86E-E87D5ECA3D4E}"/>
    <dgm:cxn modelId="{17D2C1C3-2120-48E1-B826-3DA6817C9E90}" type="presParOf" srcId="{2501BD3A-071C-4C51-B754-8B6D8DDA4B9E}" destId="{1C694CB9-9F28-4C64-B44A-6B98F3FF95E5}" srcOrd="0" destOrd="0" presId="urn:microsoft.com/office/officeart/2005/8/layout/hProcess9"/>
    <dgm:cxn modelId="{FA9DEA37-0ED1-4B2B-AC48-7E254470CEB4}" type="presParOf" srcId="{2501BD3A-071C-4C51-B754-8B6D8DDA4B9E}" destId="{C0CD70AB-209C-47A5-9B29-E4F50D17EC8D}" srcOrd="1" destOrd="0" presId="urn:microsoft.com/office/officeart/2005/8/layout/hProcess9"/>
    <dgm:cxn modelId="{A7915EBE-DDCA-4C89-9889-D26E3B72BB4F}" type="presParOf" srcId="{C0CD70AB-209C-47A5-9B29-E4F50D17EC8D}" destId="{12C9AAF4-15CE-475F-8DEB-BFA6D99EB3AC}" srcOrd="0" destOrd="0" presId="urn:microsoft.com/office/officeart/2005/8/layout/hProcess9"/>
    <dgm:cxn modelId="{7741A971-7323-4989-BAAD-E74222AC2EA3}" type="presParOf" srcId="{C0CD70AB-209C-47A5-9B29-E4F50D17EC8D}" destId="{AC662307-B1CD-4F16-88B5-EBEB67FECF0F}" srcOrd="1" destOrd="0" presId="urn:microsoft.com/office/officeart/2005/8/layout/hProcess9"/>
    <dgm:cxn modelId="{FBA488DE-47FE-48D3-8D0B-B082C54389B0}" type="presParOf" srcId="{C0CD70AB-209C-47A5-9B29-E4F50D17EC8D}" destId="{AA10C565-77C2-4F1F-82B0-B21C48F267B0}" srcOrd="2" destOrd="0" presId="urn:microsoft.com/office/officeart/2005/8/layout/hProcess9"/>
    <dgm:cxn modelId="{B66B0CE4-B85F-44FA-BA57-7E34F2E494C6}" type="presParOf" srcId="{C0CD70AB-209C-47A5-9B29-E4F50D17EC8D}" destId="{98BF7315-ABA5-418C-83AF-6F1034ADF49C}" srcOrd="3" destOrd="0" presId="urn:microsoft.com/office/officeart/2005/8/layout/hProcess9"/>
    <dgm:cxn modelId="{B9BF5109-D445-4B59-A9AB-5F068381C536}" type="presParOf" srcId="{C0CD70AB-209C-47A5-9B29-E4F50D17EC8D}" destId="{42366114-6A9E-4A43-9562-D5DD9AC366D8}" srcOrd="4" destOrd="0" presId="urn:microsoft.com/office/officeart/2005/8/layout/hProcess9"/>
    <dgm:cxn modelId="{597444A9-C8A8-4AA6-A0C2-1EBCF9F6454A}" type="presParOf" srcId="{C0CD70AB-209C-47A5-9B29-E4F50D17EC8D}" destId="{42A806F4-A303-4F04-901C-B1145AD5CE87}" srcOrd="5" destOrd="0" presId="urn:microsoft.com/office/officeart/2005/8/layout/hProcess9"/>
    <dgm:cxn modelId="{FEA218D1-7623-4654-9A4E-6E43EE9BFF0E}" type="presParOf" srcId="{C0CD70AB-209C-47A5-9B29-E4F50D17EC8D}" destId="{C02D7C7C-9D28-4DDD-A5CA-B4C4E30B9392}" srcOrd="6" destOrd="0" presId="urn:microsoft.com/office/officeart/2005/8/layout/hProcess9"/>
    <dgm:cxn modelId="{2A0B4060-4DED-4569-B10D-2E06CDE8DBAB}" type="presParOf" srcId="{C0CD70AB-209C-47A5-9B29-E4F50D17EC8D}" destId="{A691C202-4646-4A04-A23E-4728AA08E5DB}" srcOrd="7" destOrd="0" presId="urn:microsoft.com/office/officeart/2005/8/layout/hProcess9"/>
    <dgm:cxn modelId="{E868ECCE-0B22-4779-82F9-C4A8251317E9}" type="presParOf" srcId="{C0CD70AB-209C-47A5-9B29-E4F50D17EC8D}" destId="{1CF865C3-62DD-4051-9BEF-DEDD2BF6799B}" srcOrd="8" destOrd="0" presId="urn:microsoft.com/office/officeart/2005/8/layout/hProcess9"/>
  </dgm:cxnLst>
  <dgm:bg/>
  <dgm:whole/>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C694CB9-9F28-4C64-B44A-6B98F3FF95E5}">
      <dsp:nvSpPr>
        <dsp:cNvPr id="0" name=""/>
        <dsp:cNvSpPr/>
      </dsp:nvSpPr>
      <dsp:spPr>
        <a:xfrm>
          <a:off x="396430" y="0"/>
          <a:ext cx="4492879" cy="2255520"/>
        </a:xfrm>
        <a:prstGeom prst="rightArrow">
          <a:avLst/>
        </a:prstGeom>
        <a:solidFill>
          <a:schemeClr val="accent4">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12C9AAF4-15CE-475F-8DEB-BFA6D99EB3AC}">
      <dsp:nvSpPr>
        <dsp:cNvPr id="0" name=""/>
        <dsp:cNvSpPr/>
      </dsp:nvSpPr>
      <dsp:spPr>
        <a:xfrm>
          <a:off x="1548" y="676656"/>
          <a:ext cx="932231" cy="902208"/>
        </a:xfrm>
        <a:prstGeom prst="round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zh-CN" altLang="en-US" sz="1000" kern="1200">
              <a:latin typeface="微软雅黑" pitchFamily="34" charset="-122"/>
              <a:ea typeface="微软雅黑" pitchFamily="34" charset="-122"/>
            </a:rPr>
            <a:t>战略定位</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制定发展战略</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编制预算</a:t>
          </a:r>
        </a:p>
      </dsp:txBody>
      <dsp:txXfrm>
        <a:off x="45590" y="720698"/>
        <a:ext cx="844147" cy="814124"/>
      </dsp:txXfrm>
    </dsp:sp>
    <dsp:sp modelId="{AA10C565-77C2-4F1F-82B0-B21C48F267B0}">
      <dsp:nvSpPr>
        <dsp:cNvPr id="0" name=""/>
        <dsp:cNvSpPr/>
      </dsp:nvSpPr>
      <dsp:spPr>
        <a:xfrm>
          <a:off x="1089151" y="676656"/>
          <a:ext cx="932231" cy="902208"/>
        </a:xfrm>
        <a:prstGeom prst="roundRect">
          <a:avLst/>
        </a:prstGeom>
        <a:solidFill>
          <a:schemeClr val="accent4">
            <a:hueOff val="-1116192"/>
            <a:satOff val="6725"/>
            <a:lumOff val="539"/>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zh-CN" altLang="en-US" sz="1000" kern="1200">
              <a:latin typeface="微软雅黑" pitchFamily="34" charset="-122"/>
              <a:ea typeface="微软雅黑" pitchFamily="34" charset="-122"/>
            </a:rPr>
            <a:t>客户争夺</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市场竞标</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猎客</a:t>
          </a:r>
        </a:p>
      </dsp:txBody>
      <dsp:txXfrm>
        <a:off x="1133193" y="720698"/>
        <a:ext cx="844147" cy="814124"/>
      </dsp:txXfrm>
    </dsp:sp>
    <dsp:sp modelId="{42366114-6A9E-4A43-9562-D5DD9AC366D8}">
      <dsp:nvSpPr>
        <dsp:cNvPr id="0" name=""/>
        <dsp:cNvSpPr/>
      </dsp:nvSpPr>
      <dsp:spPr>
        <a:xfrm>
          <a:off x="2176754" y="676656"/>
          <a:ext cx="932231" cy="902208"/>
        </a:xfrm>
        <a:prstGeom prst="roundRect">
          <a:avLst/>
        </a:prstGeom>
        <a:solidFill>
          <a:schemeClr val="accent4">
            <a:hueOff val="-2232385"/>
            <a:satOff val="13449"/>
            <a:lumOff val="107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zh-CN" altLang="en-US" sz="1000" kern="1200">
              <a:latin typeface="微软雅黑" pitchFamily="34" charset="-122"/>
              <a:ea typeface="微软雅黑" pitchFamily="34" charset="-122"/>
            </a:rPr>
            <a:t>员工招聘</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市场招聘</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猎头</a:t>
          </a:r>
        </a:p>
      </dsp:txBody>
      <dsp:txXfrm>
        <a:off x="2220796" y="720698"/>
        <a:ext cx="844147" cy="814124"/>
      </dsp:txXfrm>
    </dsp:sp>
    <dsp:sp modelId="{C02D7C7C-9D28-4DDD-A5CA-B4C4E30B9392}">
      <dsp:nvSpPr>
        <dsp:cNvPr id="0" name=""/>
        <dsp:cNvSpPr/>
      </dsp:nvSpPr>
      <dsp:spPr>
        <a:xfrm>
          <a:off x="3264357" y="676656"/>
          <a:ext cx="932231" cy="902208"/>
        </a:xfrm>
        <a:prstGeom prst="roundRect">
          <a:avLst/>
        </a:prstGeom>
        <a:solidFill>
          <a:schemeClr val="accent4">
            <a:hueOff val="-3348577"/>
            <a:satOff val="20174"/>
            <a:lumOff val="1617"/>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zh-CN" altLang="en-US" sz="1000" kern="1200">
              <a:latin typeface="微软雅黑" pitchFamily="34" charset="-122"/>
              <a:ea typeface="微软雅黑" pitchFamily="34" charset="-122"/>
            </a:rPr>
            <a:t>年中推演</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为客户服务</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研发新产品</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员工培训发展</a:t>
          </a:r>
        </a:p>
      </dsp:txBody>
      <dsp:txXfrm>
        <a:off x="3308399" y="720698"/>
        <a:ext cx="844147" cy="814124"/>
      </dsp:txXfrm>
    </dsp:sp>
    <dsp:sp modelId="{1CF865C3-62DD-4051-9BEF-DEDD2BF6799B}">
      <dsp:nvSpPr>
        <dsp:cNvPr id="0" name=""/>
        <dsp:cNvSpPr/>
      </dsp:nvSpPr>
      <dsp:spPr>
        <a:xfrm>
          <a:off x="4351960" y="676656"/>
          <a:ext cx="932231" cy="902208"/>
        </a:xfrm>
        <a:prstGeom prst="roundRect">
          <a:avLst/>
        </a:prstGeom>
        <a:solidFill>
          <a:schemeClr val="accent4">
            <a:hueOff val="-4464770"/>
            <a:satOff val="26899"/>
            <a:lumOff val="215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t" anchorCtr="0">
          <a:noAutofit/>
        </a:bodyPr>
        <a:lstStyle/>
        <a:p>
          <a:pPr marL="0" lvl="0" indent="0" algn="l" defTabSz="444500">
            <a:lnSpc>
              <a:spcPct val="90000"/>
            </a:lnSpc>
            <a:spcBef>
              <a:spcPct val="0"/>
            </a:spcBef>
            <a:spcAft>
              <a:spcPct val="35000"/>
            </a:spcAft>
            <a:buNone/>
          </a:pPr>
          <a:r>
            <a:rPr lang="zh-CN" altLang="en-US" sz="1000" kern="1200">
              <a:latin typeface="微软雅黑" pitchFamily="34" charset="-122"/>
              <a:ea typeface="微软雅黑" pitchFamily="34" charset="-122"/>
            </a:rPr>
            <a:t>年底结算</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资产负债表</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损益表</a:t>
          </a:r>
        </a:p>
        <a:p>
          <a:pPr marL="57150" lvl="1" indent="-57150" algn="l" defTabSz="355600">
            <a:lnSpc>
              <a:spcPct val="90000"/>
            </a:lnSpc>
            <a:spcBef>
              <a:spcPct val="0"/>
            </a:spcBef>
            <a:spcAft>
              <a:spcPct val="15000"/>
            </a:spcAft>
            <a:buChar char="•"/>
          </a:pPr>
          <a:r>
            <a:rPr lang="zh-CN" altLang="en-US" sz="800" kern="1200">
              <a:latin typeface="微软雅黑" pitchFamily="34" charset="-122"/>
              <a:ea typeface="微软雅黑" pitchFamily="34" charset="-122"/>
            </a:rPr>
            <a:t>无形资产表</a:t>
          </a:r>
        </a:p>
      </dsp:txBody>
      <dsp:txXfrm>
        <a:off x="4396002" y="720698"/>
        <a:ext cx="844147" cy="814124"/>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vertAlign" val="mid"/>
      <dgm:param type="horzAlign" val="ctr"/>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2021-03-20T03:59:00Z</dcterms:created>
  <dc:creator>未妨惆怅是清狂</dc:creator>
  <cp:lastModifiedBy>未妨惆怅是清狂</cp:lastModifiedBy>
  <dcterms:modified xsi:type="dcterms:W3CDTF">2021-03-20T04:00:12Z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