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beforeAutospacing="0" w:after="0" w:afterAutospacing="0"/>
        <w:jc w:val="center"/>
        <w:rPr>
          <w:rFonts w:ascii="微软雅黑" w:hAnsi="微软雅黑" w:eastAsia="微软雅黑"/>
          <w:b/>
          <w:sz w:val="36"/>
          <w:szCs w:val="36"/>
        </w:rPr>
      </w:pPr>
      <w:r>
        <w:rPr>
          <w:rFonts w:hint="eastAsia" w:ascii="微软雅黑" w:hAnsi="微软雅黑" w:eastAsia="微软雅黑"/>
          <w:b/>
          <w:sz w:val="36"/>
          <w:szCs w:val="36"/>
        </w:rPr>
        <w:t>运筹道</w:t>
      </w:r>
      <w:r>
        <w:rPr>
          <w:rFonts w:hint="eastAsia" w:ascii="微软雅黑" w:hAnsi="微软雅黑" w:eastAsia="微软雅黑"/>
          <w:b/>
          <w:color w:val="FF0000"/>
          <w:sz w:val="36"/>
          <w:szCs w:val="36"/>
        </w:rPr>
        <w:t>力</w:t>
      </w:r>
      <w:r>
        <w:rPr>
          <w:rFonts w:hint="eastAsia" w:ascii="微软雅黑" w:hAnsi="微软雅黑" w:eastAsia="微软雅黑"/>
          <w:b/>
          <w:sz w:val="36"/>
          <w:szCs w:val="36"/>
        </w:rPr>
        <w:t>——战略性项目管理沙盘</w:t>
      </w:r>
    </w:p>
    <w:p>
      <w:pPr>
        <w:pStyle w:val="4"/>
        <w:spacing w:before="0" w:beforeAutospacing="0" w:after="0" w:afterAutospacing="0" w:line="280" w:lineRule="exact"/>
        <w:rPr>
          <w:rFonts w:ascii="微软雅黑" w:hAnsi="微软雅黑" w:eastAsia="微软雅黑"/>
          <w:b/>
          <w:color w:val="0D0D0D"/>
          <w:sz w:val="21"/>
          <w:szCs w:val="21"/>
        </w:rPr>
      </w:pPr>
      <w:r>
        <w:rPr>
          <w:rFonts w:hint="eastAsia" w:ascii="微软雅黑" w:hAnsi="微软雅黑" w:eastAsia="微软雅黑"/>
          <w:b/>
          <w:color w:val="0D0D0D"/>
          <w:sz w:val="21"/>
          <w:szCs w:val="21"/>
        </w:rPr>
        <w:t>一、课程概览：</w:t>
      </w:r>
    </w:p>
    <w:p>
      <w:pPr>
        <w:spacing w:line="280" w:lineRule="exact"/>
        <w:ind w:firstLine="420"/>
        <w:rPr>
          <w:rFonts w:ascii="微软雅黑" w:hAnsi="微软雅黑" w:eastAsia="微软雅黑"/>
          <w:szCs w:val="21"/>
        </w:rPr>
      </w:pPr>
      <w:r>
        <w:rPr>
          <w:rFonts w:hint="eastAsia" w:ascii="微软雅黑" w:hAnsi="微软雅黑" w:eastAsia="微软雅黑"/>
          <w:szCs w:val="21"/>
        </w:rPr>
        <w:t>在工业4.0时代，越来越多企业都开始以项目制进行运作。其中必定会涉及到项目的综合管理，项目范围管理，项目时间管理，项目成本管理，项目质量管理，项目资源管理，项目风险管理，项目沟通管理以及项目采购管理和相关方管理等要素。</w:t>
      </w:r>
    </w:p>
    <w:p>
      <w:pPr>
        <w:spacing w:line="280" w:lineRule="exact"/>
        <w:rPr>
          <w:rFonts w:ascii="微软雅黑" w:hAnsi="微软雅黑" w:eastAsia="微软雅黑"/>
          <w:szCs w:val="21"/>
        </w:rPr>
      </w:pPr>
      <w:r>
        <w:rPr>
          <w:rFonts w:hint="eastAsia" w:ascii="微软雅黑" w:hAnsi="微软雅黑" w:eastAsia="微软雅黑"/>
          <w:szCs w:val="21"/>
        </w:rPr>
        <w:tab/>
      </w:r>
      <w:r>
        <w:rPr>
          <w:rFonts w:hint="eastAsia" w:ascii="微软雅黑" w:hAnsi="微软雅黑" w:eastAsia="微软雅黑"/>
          <w:szCs w:val="21"/>
        </w:rPr>
        <w:t>作为一名合格的项目经理必须有足够的洞察力来关注到项目中的每一个细节，本课程将让学员模拟一位项目经理，完成若干个极具挑战的项目，从量化的数据和行为当中寻找项目管理改善和提升的要点。课程中将会设置大量的工具和框架结构来遵循项目管理流程，帮助学员提升项目管理能力，通过系统化的思维和标准化的操作来提升业绩。</w:t>
      </w:r>
    </w:p>
    <w:p>
      <w:pPr>
        <w:widowControl/>
        <w:spacing w:line="280" w:lineRule="exact"/>
        <w:ind w:firstLine="420"/>
        <w:jc w:val="left"/>
        <w:rPr>
          <w:rFonts w:ascii="微软雅黑" w:hAnsi="微软雅黑" w:eastAsia="微软雅黑"/>
          <w:szCs w:val="21"/>
        </w:rPr>
      </w:pPr>
      <w:r>
        <w:rPr>
          <w:rFonts w:hint="eastAsia" w:ascii="微软雅黑" w:hAnsi="微软雅黑" w:eastAsia="微软雅黑"/>
          <w:szCs w:val="21"/>
        </w:rPr>
        <w:t>该模拟课程的基础背景设定为一个项目团队。每个小组（分别扮演一个项目经理的角色）由若干个学员组成。他们在面对来自其他项目团队（其他学员小组）的激烈竞争中，推动自己的项目团队向前推进、发展。在这个课程中，学员们必须出众多的决策，例如项目团队筹建、新项目导入、项目风险管控等。每个独立的决策似乎容易做出，然而当它们综合在一起时，许多不同的选择方案自然产生。另外，一个非常关键的问题是面对项目的独特性和不可预测应该如何进行有效的成本控制和风险管理，尽量提升项目的品质，得到客户青睐。而项目管理的各个模块也会被巧妙地分布在每一个操作阶段，潜移默化地展现出来。</w:t>
      </w:r>
    </w:p>
    <w:p>
      <w:pPr>
        <w:spacing w:line="280" w:lineRule="exact"/>
        <w:rPr>
          <w:rFonts w:ascii="微软雅黑" w:hAnsi="微软雅黑" w:eastAsia="微软雅黑"/>
          <w:b/>
          <w:szCs w:val="21"/>
        </w:rPr>
      </w:pPr>
    </w:p>
    <w:p>
      <w:pPr>
        <w:spacing w:line="280" w:lineRule="exact"/>
        <w:rPr>
          <w:rFonts w:ascii="微软雅黑" w:hAnsi="微软雅黑" w:eastAsia="微软雅黑"/>
          <w:b/>
          <w:szCs w:val="21"/>
        </w:rPr>
      </w:pPr>
      <w:r>
        <w:rPr>
          <w:rFonts w:hint="eastAsia" w:ascii="微软雅黑" w:hAnsi="微软雅黑" w:eastAsia="微软雅黑"/>
          <w:b/>
          <w:szCs w:val="21"/>
        </w:rPr>
        <w:t>二、课程收益:</w:t>
      </w:r>
    </w:p>
    <w:p>
      <w:pPr>
        <w:adjustRightInd w:val="0"/>
        <w:snapToGrid w:val="0"/>
        <w:spacing w:line="280" w:lineRule="exact"/>
        <w:rPr>
          <w:rFonts w:ascii="微软雅黑" w:hAnsi="微软雅黑" w:eastAsia="微软雅黑"/>
          <w:bCs/>
          <w:color w:val="0D0D0D"/>
          <w:szCs w:val="21"/>
        </w:rPr>
      </w:pPr>
      <w:r>
        <w:rPr>
          <w:rFonts w:hint="eastAsia" w:ascii="微软雅黑" w:hAnsi="微软雅黑" w:eastAsia="微软雅黑"/>
          <w:bCs/>
          <w:color w:val="0D0D0D"/>
          <w:szCs w:val="21"/>
        </w:rPr>
        <w:t>1、项目管理与传统管理的区别：</w:t>
      </w:r>
    </w:p>
    <w:p>
      <w:pPr>
        <w:pStyle w:val="8"/>
        <w:numPr>
          <w:ilvl w:val="0"/>
          <w:numId w:val="1"/>
        </w:numPr>
        <w:adjustRightInd w:val="0"/>
        <w:snapToGrid w:val="0"/>
        <w:spacing w:line="280" w:lineRule="exact"/>
        <w:ind w:firstLineChars="0"/>
        <w:rPr>
          <w:rFonts w:ascii="微软雅黑" w:hAnsi="微软雅黑" w:eastAsia="微软雅黑"/>
          <w:bCs/>
          <w:color w:val="0D0D0D"/>
          <w:szCs w:val="21"/>
        </w:rPr>
      </w:pPr>
      <w:r>
        <w:rPr>
          <w:rFonts w:ascii="微软雅黑" w:hAnsi="微软雅黑" w:eastAsia="微软雅黑"/>
          <w:bCs/>
          <w:color w:val="0D0D0D"/>
          <w:szCs w:val="21"/>
        </w:rPr>
        <w:t>成本思维与效率思维区别</w:t>
      </w:r>
    </w:p>
    <w:p>
      <w:pPr>
        <w:pStyle w:val="8"/>
        <w:numPr>
          <w:ilvl w:val="0"/>
          <w:numId w:val="1"/>
        </w:numPr>
        <w:adjustRightInd w:val="0"/>
        <w:snapToGrid w:val="0"/>
        <w:spacing w:line="280" w:lineRule="exact"/>
        <w:ind w:firstLineChars="0"/>
        <w:rPr>
          <w:rFonts w:ascii="微软雅黑" w:hAnsi="微软雅黑" w:eastAsia="微软雅黑"/>
          <w:bCs/>
          <w:color w:val="0D0D0D"/>
          <w:szCs w:val="21"/>
        </w:rPr>
      </w:pPr>
      <w:r>
        <w:rPr>
          <w:rFonts w:ascii="微软雅黑" w:hAnsi="微软雅黑" w:eastAsia="微软雅黑"/>
          <w:bCs/>
          <w:color w:val="0D0D0D"/>
          <w:szCs w:val="21"/>
        </w:rPr>
        <w:t>项目制团队的运作特点</w:t>
      </w:r>
    </w:p>
    <w:p>
      <w:pPr>
        <w:pStyle w:val="8"/>
        <w:numPr>
          <w:ilvl w:val="0"/>
          <w:numId w:val="1"/>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Cs/>
          <w:color w:val="0D0D0D"/>
          <w:szCs w:val="21"/>
        </w:rPr>
        <w:t>成功项目的定义：项目顺利完成、团队获得成长、后续项目机会</w:t>
      </w:r>
    </w:p>
    <w:p>
      <w:pPr>
        <w:adjustRightInd w:val="0"/>
        <w:snapToGrid w:val="0"/>
        <w:spacing w:line="280" w:lineRule="exact"/>
        <w:rPr>
          <w:rFonts w:ascii="微软雅黑" w:hAnsi="微软雅黑" w:eastAsia="微软雅黑"/>
          <w:bCs/>
          <w:color w:val="0D0D0D"/>
          <w:szCs w:val="21"/>
        </w:rPr>
      </w:pPr>
      <w:r>
        <w:rPr>
          <w:rFonts w:hint="eastAsia" w:ascii="微软雅黑" w:hAnsi="微软雅黑" w:eastAsia="微软雅黑"/>
          <w:bCs/>
          <w:color w:val="0D0D0D"/>
          <w:szCs w:val="21"/>
        </w:rPr>
        <w:t>2、项目管理的十大知识体系应用：</w:t>
      </w:r>
    </w:p>
    <w:p>
      <w:pPr>
        <w:pStyle w:val="8"/>
        <w:numPr>
          <w:ilvl w:val="0"/>
          <w:numId w:val="2"/>
        </w:numPr>
        <w:adjustRightInd w:val="0"/>
        <w:snapToGrid w:val="0"/>
        <w:spacing w:line="280" w:lineRule="exact"/>
        <w:ind w:firstLineChars="0"/>
        <w:rPr>
          <w:rFonts w:ascii="微软雅黑" w:hAnsi="微软雅黑" w:eastAsia="微软雅黑"/>
          <w:bCs/>
          <w:color w:val="0D0D0D"/>
          <w:szCs w:val="21"/>
        </w:rPr>
      </w:pPr>
      <w:r>
        <w:rPr>
          <w:rFonts w:ascii="微软雅黑" w:hAnsi="微软雅黑" w:eastAsia="微软雅黑"/>
          <w:bCs/>
          <w:color w:val="0D0D0D"/>
          <w:szCs w:val="21"/>
        </w:rPr>
        <w:drawing>
          <wp:anchor distT="0" distB="0" distL="114300" distR="114300" simplePos="0" relativeHeight="251680768" behindDoc="0" locked="0" layoutInCell="1" allowOverlap="1">
            <wp:simplePos x="0" y="0"/>
            <wp:positionH relativeFrom="column">
              <wp:posOffset>2731770</wp:posOffset>
            </wp:positionH>
            <wp:positionV relativeFrom="paragraph">
              <wp:posOffset>340360</wp:posOffset>
            </wp:positionV>
            <wp:extent cx="2874010" cy="1242060"/>
            <wp:effectExtent l="0" t="0" r="2540" b="15240"/>
            <wp:wrapNone/>
            <wp:docPr id="4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
                    <pic:cNvPicPr>
                      <a:picLocks noChangeAspect="1" noChangeArrowheads="1"/>
                    </pic:cNvPicPr>
                  </pic:nvPicPr>
                  <pic:blipFill>
                    <a:blip r:embed="rId5" cstate="email"/>
                    <a:stretch>
                      <a:fillRect/>
                    </a:stretch>
                  </pic:blipFill>
                  <pic:spPr>
                    <a:xfrm>
                      <a:off x="0" y="0"/>
                      <a:ext cx="2874010" cy="1242060"/>
                    </a:xfrm>
                    <a:prstGeom prst="rect">
                      <a:avLst/>
                    </a:prstGeom>
                    <a:noFill/>
                    <a:ln w="9525">
                      <a:noFill/>
                      <a:miter lim="800000"/>
                      <a:headEnd/>
                      <a:tailEnd/>
                    </a:ln>
                    <a:effectLst/>
                  </pic:spPr>
                </pic:pic>
              </a:graphicData>
            </a:graphic>
          </wp:anchor>
        </w:drawing>
      </w:r>
      <w:r>
        <w:rPr>
          <w:rFonts w:ascii="微软雅黑" w:hAnsi="微软雅黑" w:eastAsia="微软雅黑"/>
          <w:bCs/>
          <w:color w:val="0D0D0D"/>
          <w:szCs w:val="21"/>
        </w:rPr>
        <w:t>综合管理</w:t>
      </w:r>
      <w:r>
        <w:rPr>
          <w:rFonts w:hint="eastAsia" w:ascii="微软雅黑" w:hAnsi="微软雅黑" w:eastAsia="微软雅黑"/>
          <w:bCs/>
          <w:color w:val="0D0D0D"/>
          <w:szCs w:val="21"/>
        </w:rPr>
        <w:t>、</w:t>
      </w:r>
      <w:r>
        <w:rPr>
          <w:rFonts w:ascii="微软雅黑" w:hAnsi="微软雅黑" w:eastAsia="微软雅黑"/>
          <w:bCs/>
          <w:color w:val="0D0D0D"/>
          <w:szCs w:val="21"/>
        </w:rPr>
        <w:t>范围管理</w:t>
      </w:r>
      <w:r>
        <w:rPr>
          <w:rFonts w:hint="eastAsia" w:ascii="微软雅黑" w:hAnsi="微软雅黑" w:eastAsia="微软雅黑"/>
          <w:bCs/>
          <w:color w:val="0D0D0D"/>
          <w:szCs w:val="21"/>
        </w:rPr>
        <w:t>、</w:t>
      </w:r>
      <w:r>
        <w:rPr>
          <w:rFonts w:ascii="微软雅黑" w:hAnsi="微软雅黑" w:eastAsia="微软雅黑"/>
          <w:bCs/>
          <w:color w:val="0D0D0D"/>
          <w:szCs w:val="21"/>
        </w:rPr>
        <w:t>进度管理</w:t>
      </w:r>
      <w:r>
        <w:rPr>
          <w:rFonts w:hint="eastAsia" w:ascii="微软雅黑" w:hAnsi="微软雅黑" w:eastAsia="微软雅黑"/>
          <w:bCs/>
          <w:color w:val="0D0D0D"/>
          <w:szCs w:val="21"/>
        </w:rPr>
        <w:t>、</w:t>
      </w:r>
      <w:r>
        <w:rPr>
          <w:rFonts w:ascii="微软雅黑" w:hAnsi="微软雅黑" w:eastAsia="微软雅黑"/>
          <w:bCs/>
          <w:color w:val="0D0D0D"/>
          <w:szCs w:val="21"/>
        </w:rPr>
        <w:t>成本管理</w:t>
      </w:r>
      <w:r>
        <w:rPr>
          <w:rFonts w:hint="eastAsia" w:ascii="微软雅黑" w:hAnsi="微软雅黑" w:eastAsia="微软雅黑"/>
          <w:bCs/>
          <w:color w:val="0D0D0D"/>
          <w:szCs w:val="21"/>
        </w:rPr>
        <w:t>、</w:t>
      </w:r>
      <w:r>
        <w:rPr>
          <w:rFonts w:ascii="微软雅黑" w:hAnsi="微软雅黑" w:eastAsia="微软雅黑"/>
          <w:bCs/>
          <w:color w:val="0D0D0D"/>
          <w:szCs w:val="21"/>
        </w:rPr>
        <w:t>质量管理</w:t>
      </w:r>
      <w:r>
        <w:rPr>
          <w:rFonts w:hint="eastAsia" w:ascii="微软雅黑" w:hAnsi="微软雅黑" w:eastAsia="微软雅黑"/>
          <w:bCs/>
          <w:color w:val="0D0D0D"/>
          <w:szCs w:val="21"/>
        </w:rPr>
        <w:t>、</w:t>
      </w:r>
      <w:r>
        <w:rPr>
          <w:rFonts w:ascii="微软雅黑" w:hAnsi="微软雅黑" w:eastAsia="微软雅黑"/>
          <w:bCs/>
          <w:color w:val="0D0D0D"/>
          <w:szCs w:val="21"/>
        </w:rPr>
        <w:t>资源管理</w:t>
      </w:r>
      <w:r>
        <w:rPr>
          <w:rFonts w:hint="eastAsia" w:ascii="微软雅黑" w:hAnsi="微软雅黑" w:eastAsia="微软雅黑"/>
          <w:bCs/>
          <w:color w:val="0D0D0D"/>
          <w:szCs w:val="21"/>
        </w:rPr>
        <w:t>、</w:t>
      </w:r>
      <w:r>
        <w:rPr>
          <w:rFonts w:ascii="微软雅黑" w:hAnsi="微软雅黑" w:eastAsia="微软雅黑"/>
          <w:bCs/>
          <w:color w:val="0D0D0D"/>
          <w:szCs w:val="21"/>
        </w:rPr>
        <w:t>风险管理</w:t>
      </w:r>
      <w:r>
        <w:rPr>
          <w:rFonts w:hint="eastAsia" w:ascii="微软雅黑" w:hAnsi="微软雅黑" w:eastAsia="微软雅黑"/>
          <w:bCs/>
          <w:color w:val="0D0D0D"/>
          <w:szCs w:val="21"/>
        </w:rPr>
        <w:t>、</w:t>
      </w:r>
      <w:r>
        <w:rPr>
          <w:rFonts w:ascii="微软雅黑" w:hAnsi="微软雅黑" w:eastAsia="微软雅黑"/>
          <w:bCs/>
          <w:color w:val="0D0D0D"/>
          <w:szCs w:val="21"/>
        </w:rPr>
        <w:t>沟通管理</w:t>
      </w:r>
      <w:r>
        <w:rPr>
          <w:rFonts w:hint="eastAsia" w:ascii="微软雅黑" w:hAnsi="微软雅黑" w:eastAsia="微软雅黑"/>
          <w:bCs/>
          <w:color w:val="0D0D0D"/>
          <w:szCs w:val="21"/>
        </w:rPr>
        <w:t>、采购管理、相关方</w:t>
      </w:r>
      <w:r>
        <w:rPr>
          <w:rFonts w:ascii="微软雅黑" w:hAnsi="微软雅黑" w:eastAsia="微软雅黑"/>
          <w:bCs/>
          <w:color w:val="0D0D0D"/>
          <w:szCs w:val="21"/>
        </w:rPr>
        <w:t>管理</w:t>
      </w:r>
    </w:p>
    <w:p>
      <w:pPr>
        <w:adjustRightInd w:val="0"/>
        <w:snapToGrid w:val="0"/>
        <w:spacing w:line="280" w:lineRule="exact"/>
        <w:rPr>
          <w:rFonts w:ascii="微软雅黑" w:hAnsi="微软雅黑" w:eastAsia="微软雅黑"/>
          <w:bCs/>
          <w:color w:val="0D0D0D"/>
          <w:szCs w:val="21"/>
        </w:rPr>
      </w:pPr>
      <w:r>
        <w:rPr>
          <w:rFonts w:hint="eastAsia" w:ascii="微软雅黑" w:hAnsi="微软雅黑" w:eastAsia="微软雅黑"/>
          <w:bCs/>
          <w:color w:val="0D0D0D"/>
          <w:szCs w:val="21"/>
        </w:rPr>
        <w:t>3、项目型企业管理要点</w:t>
      </w:r>
    </w:p>
    <w:p>
      <w:pPr>
        <w:pStyle w:val="8"/>
        <w:numPr>
          <w:ilvl w:val="0"/>
          <w:numId w:val="3"/>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Cs/>
          <w:color w:val="0D0D0D"/>
          <w:szCs w:val="21"/>
        </w:rPr>
        <w:t>复杂环境下的多重考虑。</w:t>
      </w:r>
    </w:p>
    <w:p>
      <w:pPr>
        <w:pStyle w:val="8"/>
        <w:numPr>
          <w:ilvl w:val="0"/>
          <w:numId w:val="3"/>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Cs/>
          <w:color w:val="0D0D0D"/>
          <w:szCs w:val="21"/>
        </w:rPr>
        <w:t>定义对项目产生影响的利益相关方。　</w:t>
      </w:r>
    </w:p>
    <w:p>
      <w:pPr>
        <w:adjustRightInd w:val="0"/>
        <w:snapToGrid w:val="0"/>
        <w:spacing w:line="280" w:lineRule="exact"/>
        <w:rPr>
          <w:rFonts w:ascii="微软雅黑" w:hAnsi="微软雅黑" w:eastAsia="微软雅黑"/>
          <w:bCs/>
          <w:color w:val="0D0D0D"/>
          <w:szCs w:val="21"/>
        </w:rPr>
      </w:pPr>
      <w:r>
        <w:rPr>
          <w:rFonts w:hint="eastAsia" w:ascii="微软雅黑" w:hAnsi="微软雅黑" w:eastAsia="微软雅黑"/>
          <w:bCs/>
          <w:color w:val="0D0D0D"/>
          <w:szCs w:val="21"/>
        </w:rPr>
        <w:t>4、项目型团队成功的要诀。</w:t>
      </w:r>
    </w:p>
    <w:p>
      <w:pPr>
        <w:pStyle w:val="8"/>
        <w:numPr>
          <w:ilvl w:val="0"/>
          <w:numId w:val="3"/>
        </w:numPr>
        <w:adjustRightInd w:val="0"/>
        <w:snapToGrid w:val="0"/>
        <w:spacing w:line="280" w:lineRule="exact"/>
        <w:ind w:firstLineChars="0"/>
        <w:rPr>
          <w:rFonts w:ascii="微软雅黑" w:hAnsi="微软雅黑" w:eastAsia="微软雅黑"/>
          <w:bCs/>
          <w:color w:val="0D0D0D"/>
          <w:szCs w:val="21"/>
        </w:rPr>
      </w:pPr>
      <w:r>
        <w:rPr>
          <w:rFonts w:ascii="微软雅黑" w:hAnsi="微软雅黑" w:eastAsia="微软雅黑"/>
          <w:bCs/>
          <w:color w:val="0D0D0D"/>
          <w:szCs w:val="21"/>
        </w:rPr>
        <w:t>找到稀缺资源，控制项目进度。</w:t>
      </w:r>
    </w:p>
    <w:p>
      <w:pPr>
        <w:pStyle w:val="8"/>
        <w:numPr>
          <w:ilvl w:val="0"/>
          <w:numId w:val="3"/>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Cs/>
          <w:color w:val="0D0D0D"/>
          <w:szCs w:val="21"/>
        </w:rPr>
        <w:t>区分项目产出和商业价值。</w:t>
      </w:r>
    </w:p>
    <w:p>
      <w:pPr>
        <w:pStyle w:val="8"/>
        <w:widowControl/>
        <w:numPr>
          <w:ilvl w:val="0"/>
          <w:numId w:val="3"/>
        </w:numPr>
        <w:adjustRightInd w:val="0"/>
        <w:snapToGrid w:val="0"/>
        <w:spacing w:line="280" w:lineRule="exact"/>
        <w:ind w:firstLineChars="0"/>
        <w:jc w:val="left"/>
        <w:rPr>
          <w:rFonts w:ascii="微软雅黑" w:hAnsi="微软雅黑" w:eastAsia="微软雅黑"/>
          <w:bCs/>
          <w:color w:val="0D0D0D"/>
          <w:szCs w:val="21"/>
        </w:rPr>
      </w:pPr>
      <w:r>
        <w:rPr>
          <w:rFonts w:hint="eastAsia" w:ascii="微软雅黑" w:hAnsi="微软雅黑" w:eastAsia="微软雅黑"/>
          <w:bCs/>
          <w:color w:val="0D0D0D"/>
          <w:szCs w:val="21"/>
        </w:rPr>
        <w:t>项目经理对利益相关方的调动作用。</w:t>
      </w:r>
    </w:p>
    <w:p>
      <w:pPr>
        <w:pStyle w:val="4"/>
        <w:spacing w:before="0" w:beforeAutospacing="0" w:after="0" w:afterAutospacing="0" w:line="280" w:lineRule="exact"/>
        <w:rPr>
          <w:rFonts w:ascii="微软雅黑" w:hAnsi="微软雅黑" w:eastAsia="微软雅黑"/>
          <w:b/>
          <w:color w:val="0D0D0D"/>
          <w:sz w:val="21"/>
          <w:szCs w:val="21"/>
        </w:rPr>
      </w:pPr>
    </w:p>
    <w:p>
      <w:pPr>
        <w:pStyle w:val="4"/>
        <w:spacing w:before="0" w:beforeAutospacing="0" w:after="0" w:afterAutospacing="0" w:line="280" w:lineRule="exact"/>
        <w:rPr>
          <w:rFonts w:ascii="微软雅黑" w:hAnsi="微软雅黑" w:eastAsia="微软雅黑"/>
          <w:b/>
          <w:color w:val="0D0D0D"/>
          <w:sz w:val="21"/>
          <w:szCs w:val="21"/>
        </w:rPr>
      </w:pPr>
      <w:r>
        <w:rPr>
          <w:rFonts w:ascii="微软雅黑" w:hAnsi="微软雅黑" w:eastAsia="微软雅黑"/>
          <w:b/>
          <w:color w:val="0D0D0D"/>
          <w:sz w:val="21"/>
          <w:szCs w:val="21"/>
        </w:rPr>
        <w:t>三</w:t>
      </w:r>
      <w:r>
        <w:rPr>
          <w:rFonts w:hint="eastAsia" w:ascii="微软雅黑" w:hAnsi="微软雅黑" w:eastAsia="微软雅黑"/>
          <w:b/>
          <w:color w:val="0D0D0D"/>
          <w:sz w:val="21"/>
          <w:szCs w:val="21"/>
        </w:rPr>
        <w:t>、课程对象：</w:t>
      </w:r>
    </w:p>
    <w:p>
      <w:pPr>
        <w:pStyle w:val="4"/>
        <w:spacing w:before="0" w:beforeAutospacing="0" w:after="0" w:afterAutospacing="0" w:line="280" w:lineRule="exact"/>
        <w:rPr>
          <w:rFonts w:ascii="微软雅黑" w:hAnsi="微软雅黑" w:eastAsia="微软雅黑"/>
          <w:color w:val="0D0D0D"/>
          <w:sz w:val="21"/>
          <w:szCs w:val="21"/>
        </w:rPr>
      </w:pPr>
      <w:r>
        <w:rPr>
          <w:rFonts w:hint="eastAsia" w:ascii="微软雅黑" w:hAnsi="微软雅黑" w:eastAsia="微软雅黑"/>
          <w:color w:val="0D0D0D"/>
          <w:sz w:val="21"/>
          <w:szCs w:val="21"/>
        </w:rPr>
        <w:t>有一定项目管理基础的员工（建议6组以内，每组4-8人为宜）</w:t>
      </w:r>
    </w:p>
    <w:p>
      <w:pPr>
        <w:pStyle w:val="4"/>
        <w:spacing w:before="0" w:beforeAutospacing="0" w:after="0" w:afterAutospacing="0" w:line="280" w:lineRule="exact"/>
        <w:rPr>
          <w:rFonts w:ascii="微软雅黑" w:hAnsi="微软雅黑" w:eastAsia="微软雅黑"/>
          <w:b/>
          <w:color w:val="0D0D0D"/>
          <w:sz w:val="21"/>
          <w:szCs w:val="21"/>
        </w:rPr>
      </w:pPr>
    </w:p>
    <w:p>
      <w:pPr>
        <w:pStyle w:val="4"/>
        <w:spacing w:before="0" w:beforeAutospacing="0" w:after="0" w:afterAutospacing="0" w:line="280" w:lineRule="exact"/>
        <w:rPr>
          <w:rFonts w:ascii="微软雅黑" w:hAnsi="微软雅黑" w:eastAsia="微软雅黑"/>
          <w:color w:val="0D0D0D"/>
          <w:sz w:val="21"/>
          <w:szCs w:val="21"/>
        </w:rPr>
      </w:pPr>
      <w:r>
        <w:rPr>
          <w:rFonts w:hint="eastAsia" w:ascii="微软雅黑" w:hAnsi="微软雅黑" w:eastAsia="微软雅黑"/>
          <w:b/>
          <w:color w:val="0D0D0D"/>
          <w:sz w:val="21"/>
          <w:szCs w:val="21"/>
        </w:rPr>
        <w:t>四、课程时间：</w:t>
      </w:r>
    </w:p>
    <w:p>
      <w:pPr>
        <w:pStyle w:val="4"/>
        <w:spacing w:before="0" w:beforeAutospacing="0" w:after="0" w:afterAutospacing="0" w:line="280" w:lineRule="exact"/>
        <w:rPr>
          <w:rFonts w:ascii="微软雅黑" w:hAnsi="微软雅黑" w:eastAsia="微软雅黑"/>
          <w:color w:val="0D0D0D"/>
          <w:sz w:val="21"/>
          <w:szCs w:val="21"/>
        </w:rPr>
      </w:pPr>
      <w:r>
        <w:rPr>
          <w:rFonts w:hint="eastAsia" w:ascii="微软雅黑" w:hAnsi="微软雅黑" w:eastAsia="微软雅黑"/>
          <w:color w:val="0D0D0D"/>
          <w:sz w:val="21"/>
          <w:szCs w:val="21"/>
        </w:rPr>
        <w:t>标准课时2天（12小时）</w:t>
      </w:r>
    </w:p>
    <w:p>
      <w:pPr>
        <w:spacing w:line="280" w:lineRule="exact"/>
        <w:rPr>
          <w:rFonts w:ascii="微软雅黑" w:hAnsi="微软雅黑" w:eastAsia="微软雅黑"/>
          <w:b/>
          <w:szCs w:val="21"/>
        </w:rPr>
      </w:pPr>
    </w:p>
    <w:p>
      <w:pPr>
        <w:spacing w:line="280" w:lineRule="exact"/>
        <w:rPr>
          <w:rFonts w:ascii="微软雅黑" w:hAnsi="微软雅黑" w:eastAsia="微软雅黑"/>
          <w:b/>
          <w:szCs w:val="21"/>
        </w:rPr>
      </w:pPr>
      <w:r>
        <w:rPr>
          <w:rFonts w:ascii="微软雅黑" w:hAnsi="微软雅黑" w:eastAsia="微软雅黑"/>
          <w:b/>
          <w:szCs w:val="21"/>
        </w:rPr>
        <w:t>五</w:t>
      </w:r>
      <w:r>
        <w:rPr>
          <w:rFonts w:hint="eastAsia" w:ascii="微软雅黑" w:hAnsi="微软雅黑" w:eastAsia="微软雅黑"/>
          <w:b/>
          <w:szCs w:val="21"/>
        </w:rPr>
        <w:t>、课程内容：</w:t>
      </w:r>
    </w:p>
    <w:p>
      <w:pPr>
        <w:spacing w:line="280" w:lineRule="exact"/>
        <w:rPr>
          <w:rFonts w:ascii="微软雅黑" w:hAnsi="微软雅黑" w:eastAsia="微软雅黑"/>
          <w:b/>
          <w:szCs w:val="21"/>
        </w:rPr>
      </w:pPr>
      <w:r>
        <w:rPr>
          <w:rFonts w:hint="eastAsia" w:ascii="微软雅黑" w:hAnsi="微软雅黑" w:eastAsia="微软雅黑"/>
          <w:b/>
          <w:szCs w:val="21"/>
        </w:rPr>
        <w:t>开篇：项目型组织的讨论</w:t>
      </w:r>
    </w:p>
    <w:p>
      <w:pPr>
        <w:pStyle w:val="8"/>
        <w:numPr>
          <w:ilvl w:val="0"/>
          <w:numId w:val="4"/>
        </w:numPr>
        <w:adjustRightInd w:val="0"/>
        <w:snapToGrid w:val="0"/>
        <w:spacing w:line="280" w:lineRule="exact"/>
        <w:ind w:firstLineChars="0"/>
        <w:rPr>
          <w:rFonts w:ascii="微软雅黑" w:hAnsi="微软雅黑" w:eastAsia="微软雅黑"/>
          <w:bCs/>
          <w:color w:val="0D0D0D"/>
          <w:szCs w:val="21"/>
        </w:rPr>
      </w:pPr>
      <w:r>
        <w:rPr>
          <w:rFonts w:ascii="微软雅黑" w:hAnsi="微软雅黑" w:eastAsia="微软雅黑"/>
          <w:bCs/>
          <w:color w:val="0D0D0D"/>
          <w:szCs w:val="21"/>
        </w:rPr>
        <w:t>项目管理的定义。</w:t>
      </w:r>
    </w:p>
    <w:p>
      <w:pPr>
        <w:pStyle w:val="8"/>
        <w:numPr>
          <w:ilvl w:val="0"/>
          <w:numId w:val="4"/>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Cs/>
          <w:color w:val="0D0D0D"/>
          <w:szCs w:val="21"/>
        </w:rPr>
        <w:t>项目管理与传统管理的区别。</w:t>
      </w:r>
    </w:p>
    <w:p>
      <w:pPr>
        <w:pStyle w:val="8"/>
        <w:numPr>
          <w:ilvl w:val="0"/>
          <w:numId w:val="4"/>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Cs/>
          <w:color w:val="0D0D0D"/>
          <w:szCs w:val="21"/>
        </w:rPr>
        <w:t>项目的五大过程组十大知识体系49个过程导入。</w:t>
      </w:r>
    </w:p>
    <w:p>
      <w:pPr>
        <w:pStyle w:val="8"/>
        <w:numPr>
          <w:ilvl w:val="0"/>
          <w:numId w:val="4"/>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Cs/>
          <w:color w:val="0D0D0D"/>
          <w:szCs w:val="21"/>
        </w:rPr>
        <w:t>项目成果的衡量标准。</w:t>
      </w:r>
    </w:p>
    <w:p>
      <w:pPr>
        <w:pStyle w:val="8"/>
        <w:numPr>
          <w:ilvl w:val="0"/>
          <w:numId w:val="4"/>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Cs/>
          <w:color w:val="0D0D0D"/>
          <w:szCs w:val="21"/>
        </w:rPr>
        <w:t>熟悉游戏规则</w:t>
      </w:r>
    </w:p>
    <w:p>
      <w:pPr>
        <w:spacing w:line="280" w:lineRule="exact"/>
        <w:rPr>
          <w:rFonts w:ascii="微软雅黑" w:hAnsi="微软雅黑" w:eastAsia="微软雅黑"/>
          <w:b/>
          <w:szCs w:val="21"/>
        </w:rPr>
      </w:pPr>
      <w:r>
        <w:rPr>
          <w:rFonts w:hint="eastAsia" w:ascii="微软雅黑" w:hAnsi="微软雅黑" w:eastAsia="微软雅黑"/>
          <w:b/>
          <w:szCs w:val="21"/>
        </w:rPr>
        <w:t>第一阶段推演（开始第一个项目的推演）</w:t>
      </w:r>
    </w:p>
    <w:p>
      <w:pPr>
        <w:pStyle w:val="8"/>
        <w:numPr>
          <w:ilvl w:val="0"/>
          <w:numId w:val="5"/>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Cs/>
          <w:color w:val="0D0D0D"/>
          <w:szCs w:val="21"/>
        </w:rPr>
        <w:t>比较各个小组的选择对商业价值，预算，时间的影响。</w:t>
      </w:r>
    </w:p>
    <w:p>
      <w:pPr>
        <w:pStyle w:val="8"/>
        <w:numPr>
          <w:ilvl w:val="0"/>
          <w:numId w:val="5"/>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Cs/>
          <w:color w:val="0D0D0D"/>
          <w:szCs w:val="21"/>
        </w:rPr>
        <w:t>分析各个事件的处理方式对各个利益相关方的信心和参与度的影响。</w:t>
      </w:r>
    </w:p>
    <w:p>
      <w:pPr>
        <w:pStyle w:val="8"/>
        <w:numPr>
          <w:ilvl w:val="0"/>
          <w:numId w:val="5"/>
        </w:numPr>
        <w:adjustRightInd w:val="0"/>
        <w:snapToGrid w:val="0"/>
        <w:spacing w:line="280" w:lineRule="exact"/>
        <w:ind w:firstLineChars="0"/>
        <w:rPr>
          <w:rFonts w:ascii="微软雅黑" w:hAnsi="微软雅黑" w:eastAsia="微软雅黑"/>
          <w:b/>
          <w:bCs/>
          <w:color w:val="0D0D0D"/>
          <w:szCs w:val="21"/>
        </w:rPr>
      </w:pPr>
      <w:r>
        <w:rPr>
          <w:rFonts w:hint="eastAsia" w:ascii="微软雅黑" w:hAnsi="微软雅黑" w:eastAsia="微软雅黑"/>
          <w:b/>
          <w:bCs/>
          <w:color w:val="0D0D0D"/>
          <w:szCs w:val="21"/>
        </w:rPr>
        <w:t>核心知识点：</w:t>
      </w:r>
    </w:p>
    <w:p>
      <w:pPr>
        <w:pStyle w:val="8"/>
        <w:numPr>
          <w:ilvl w:val="1"/>
          <w:numId w:val="5"/>
        </w:numPr>
        <w:adjustRightInd w:val="0"/>
        <w:snapToGrid w:val="0"/>
        <w:spacing w:line="280" w:lineRule="exact"/>
        <w:ind w:firstLineChars="0"/>
        <w:rPr>
          <w:rFonts w:ascii="微软雅黑" w:hAnsi="微软雅黑" w:eastAsia="微软雅黑"/>
          <w:bCs/>
          <w:color w:val="0D0D0D"/>
          <w:szCs w:val="21"/>
        </w:rPr>
      </w:pPr>
      <w:r>
        <w:rPr>
          <w:rFonts w:ascii="微软雅黑" w:hAnsi="微软雅黑" w:eastAsia="微软雅黑"/>
          <w:b/>
          <w:bCs/>
          <w:color w:val="0D0D0D"/>
          <w:szCs w:val="21"/>
        </w:rPr>
        <w:t>项目整合管理</w:t>
      </w:r>
      <w:r>
        <w:rPr>
          <w:rFonts w:ascii="微软雅黑" w:hAnsi="微软雅黑" w:eastAsia="微软雅黑"/>
          <w:bCs/>
          <w:color w:val="0D0D0D"/>
          <w:szCs w:val="21"/>
        </w:rPr>
        <w:t>——系统与子系统之间的关系。汇总整个项目流程。</w:t>
      </w:r>
    </w:p>
    <w:p>
      <w:pPr>
        <w:pStyle w:val="8"/>
        <w:numPr>
          <w:ilvl w:val="1"/>
          <w:numId w:val="5"/>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
          <w:bCs/>
          <w:color w:val="0D0D0D"/>
          <w:szCs w:val="21"/>
        </w:rPr>
        <w:t>项目范围管理</w:t>
      </w:r>
      <w:r>
        <w:rPr>
          <w:rFonts w:hint="eastAsia" w:ascii="微软雅黑" w:hAnsi="微软雅黑" w:eastAsia="微软雅黑"/>
          <w:bCs/>
          <w:color w:val="0D0D0D"/>
          <w:szCs w:val="21"/>
        </w:rPr>
        <w:t>——需求把握及工作任务分解WBS。</w:t>
      </w:r>
    </w:p>
    <w:p>
      <w:pPr>
        <w:spacing w:line="280" w:lineRule="exact"/>
        <w:rPr>
          <w:rFonts w:ascii="微软雅黑" w:hAnsi="微软雅黑" w:eastAsia="微软雅黑"/>
          <w:b/>
          <w:szCs w:val="21"/>
        </w:rPr>
      </w:pPr>
      <w:r>
        <w:rPr>
          <w:rFonts w:hint="eastAsia" w:ascii="微软雅黑" w:hAnsi="微软雅黑" w:eastAsia="微软雅黑"/>
          <w:b/>
          <w:szCs w:val="21"/>
        </w:rPr>
        <w:t>第二阶段推演</w:t>
      </w:r>
    </w:p>
    <w:p>
      <w:pPr>
        <w:pStyle w:val="8"/>
        <w:numPr>
          <w:ilvl w:val="0"/>
          <w:numId w:val="5"/>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Cs/>
          <w:color w:val="0D0D0D"/>
          <w:szCs w:val="21"/>
        </w:rPr>
        <w:t>寻找各个小组的项目短板因素。</w:t>
      </w:r>
    </w:p>
    <w:p>
      <w:pPr>
        <w:pStyle w:val="8"/>
        <w:numPr>
          <w:ilvl w:val="0"/>
          <w:numId w:val="5"/>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Cs/>
          <w:color w:val="0D0D0D"/>
          <w:szCs w:val="21"/>
        </w:rPr>
        <w:t>对本阶段的所有事件决定如何处理。</w:t>
      </w:r>
    </w:p>
    <w:p>
      <w:pPr>
        <w:pStyle w:val="8"/>
        <w:numPr>
          <w:ilvl w:val="0"/>
          <w:numId w:val="5"/>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Cs/>
          <w:color w:val="0D0D0D"/>
          <w:szCs w:val="21"/>
        </w:rPr>
        <w:t>分析总结各事件的处理对各个利益相关方的信心和发挥程度的影响。</w:t>
      </w:r>
    </w:p>
    <w:p>
      <w:pPr>
        <w:pStyle w:val="8"/>
        <w:numPr>
          <w:ilvl w:val="0"/>
          <w:numId w:val="5"/>
        </w:numPr>
        <w:adjustRightInd w:val="0"/>
        <w:snapToGrid w:val="0"/>
        <w:spacing w:line="280" w:lineRule="exact"/>
        <w:ind w:firstLineChars="0"/>
        <w:rPr>
          <w:rFonts w:ascii="微软雅黑" w:hAnsi="微软雅黑" w:eastAsia="微软雅黑"/>
          <w:b/>
          <w:bCs/>
          <w:color w:val="0D0D0D"/>
          <w:szCs w:val="21"/>
        </w:rPr>
      </w:pPr>
      <w:r>
        <w:rPr>
          <w:rFonts w:hint="eastAsia" w:ascii="微软雅黑" w:hAnsi="微软雅黑" w:eastAsia="微软雅黑"/>
          <w:b/>
          <w:bCs/>
          <w:color w:val="0D0D0D"/>
          <w:szCs w:val="21"/>
        </w:rPr>
        <w:t>核心知识点：</w:t>
      </w:r>
    </w:p>
    <w:p>
      <w:pPr>
        <w:pStyle w:val="8"/>
        <w:numPr>
          <w:ilvl w:val="1"/>
          <w:numId w:val="5"/>
        </w:numPr>
        <w:adjustRightInd w:val="0"/>
        <w:snapToGrid w:val="0"/>
        <w:spacing w:line="280" w:lineRule="exact"/>
        <w:ind w:firstLineChars="0"/>
        <w:rPr>
          <w:rFonts w:ascii="微软雅黑" w:hAnsi="微软雅黑" w:eastAsia="微软雅黑"/>
          <w:bCs/>
          <w:color w:val="0D0D0D"/>
          <w:szCs w:val="21"/>
        </w:rPr>
      </w:pPr>
      <w:r>
        <w:rPr>
          <w:rFonts w:ascii="微软雅黑" w:hAnsi="微软雅黑" w:eastAsia="微软雅黑"/>
          <w:b/>
          <w:bCs/>
          <w:color w:val="0D0D0D"/>
          <w:szCs w:val="21"/>
        </w:rPr>
        <w:t>项目资源管理</w:t>
      </w:r>
      <w:r>
        <w:rPr>
          <w:rFonts w:ascii="微软雅黑" w:hAnsi="微软雅黑" w:eastAsia="微软雅黑"/>
          <w:bCs/>
          <w:color w:val="0D0D0D"/>
          <w:szCs w:val="21"/>
        </w:rPr>
        <w:t>——评估并监控各类资源在项目过程中的应用，以及进行团队建设。</w:t>
      </w:r>
    </w:p>
    <w:p>
      <w:pPr>
        <w:pStyle w:val="8"/>
        <w:numPr>
          <w:ilvl w:val="1"/>
          <w:numId w:val="5"/>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
          <w:bCs/>
          <w:color w:val="0D0D0D"/>
          <w:szCs w:val="21"/>
        </w:rPr>
        <w:t>项目相关方管理</w:t>
      </w:r>
      <w:r>
        <w:rPr>
          <w:rFonts w:hint="eastAsia" w:ascii="微软雅黑" w:hAnsi="微软雅黑" w:eastAsia="微软雅黑"/>
          <w:bCs/>
          <w:color w:val="0D0D0D"/>
          <w:szCs w:val="21"/>
        </w:rPr>
        <w:t>——识别并合理利用相关方对项目的影响，解决“谁说了算？“的困惑。</w:t>
      </w:r>
    </w:p>
    <w:p>
      <w:pPr>
        <w:spacing w:line="280" w:lineRule="exact"/>
        <w:rPr>
          <w:rFonts w:ascii="微软雅黑" w:hAnsi="微软雅黑" w:eastAsia="微软雅黑"/>
          <w:b/>
          <w:szCs w:val="21"/>
        </w:rPr>
      </w:pPr>
      <w:r>
        <w:rPr>
          <w:rFonts w:hint="eastAsia" w:ascii="微软雅黑" w:hAnsi="微软雅黑" w:eastAsia="微软雅黑"/>
          <w:b/>
          <w:szCs w:val="21"/>
        </w:rPr>
        <w:t>第三阶段推演（完成第一个项目的推演）</w:t>
      </w:r>
    </w:p>
    <w:p>
      <w:pPr>
        <w:pStyle w:val="8"/>
        <w:numPr>
          <w:ilvl w:val="0"/>
          <w:numId w:val="5"/>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Cs/>
          <w:color w:val="0D0D0D"/>
          <w:szCs w:val="21"/>
        </w:rPr>
        <w:t>处理规范性和灵活性的冲突。</w:t>
      </w:r>
    </w:p>
    <w:p>
      <w:pPr>
        <w:pStyle w:val="8"/>
        <w:numPr>
          <w:ilvl w:val="0"/>
          <w:numId w:val="5"/>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Cs/>
          <w:color w:val="0D0D0D"/>
          <w:szCs w:val="21"/>
        </w:rPr>
        <w:t>如何应对来自组织的要求。</w:t>
      </w:r>
    </w:p>
    <w:p>
      <w:pPr>
        <w:pStyle w:val="8"/>
        <w:numPr>
          <w:ilvl w:val="0"/>
          <w:numId w:val="5"/>
        </w:numPr>
        <w:adjustRightInd w:val="0"/>
        <w:snapToGrid w:val="0"/>
        <w:spacing w:line="280" w:lineRule="exact"/>
        <w:ind w:firstLineChars="0"/>
        <w:rPr>
          <w:rFonts w:ascii="微软雅黑" w:hAnsi="微软雅黑" w:eastAsia="微软雅黑"/>
          <w:b/>
          <w:bCs/>
          <w:color w:val="0D0D0D"/>
          <w:szCs w:val="21"/>
        </w:rPr>
      </w:pPr>
      <w:r>
        <w:rPr>
          <w:rFonts w:hint="eastAsia" w:ascii="微软雅黑" w:hAnsi="微软雅黑" w:eastAsia="微软雅黑"/>
          <w:b/>
          <w:bCs/>
          <w:color w:val="0D0D0D"/>
          <w:szCs w:val="21"/>
        </w:rPr>
        <w:t>核心知识点：</w:t>
      </w:r>
    </w:p>
    <w:p>
      <w:pPr>
        <w:pStyle w:val="8"/>
        <w:numPr>
          <w:ilvl w:val="1"/>
          <w:numId w:val="5"/>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
          <w:bCs/>
          <w:color w:val="0D0D0D"/>
          <w:szCs w:val="21"/>
        </w:rPr>
        <w:t>项目成本管理</w:t>
      </w:r>
      <w:r>
        <w:rPr>
          <w:rFonts w:hint="eastAsia" w:ascii="微软雅黑" w:hAnsi="微软雅黑" w:eastAsia="微软雅黑"/>
          <w:bCs/>
          <w:color w:val="0D0D0D"/>
          <w:szCs w:val="21"/>
        </w:rPr>
        <w:t>——预估并合理监控成本在项目中的应用。</w:t>
      </w:r>
    </w:p>
    <w:p>
      <w:pPr>
        <w:spacing w:line="280" w:lineRule="exact"/>
        <w:rPr>
          <w:rFonts w:ascii="微软雅黑" w:hAnsi="微软雅黑" w:eastAsia="微软雅黑"/>
          <w:b/>
          <w:szCs w:val="21"/>
        </w:rPr>
      </w:pPr>
      <w:r>
        <w:rPr>
          <w:rFonts w:hint="eastAsia" w:ascii="微软雅黑" w:hAnsi="微软雅黑" w:eastAsia="微软雅黑"/>
          <w:b/>
          <w:szCs w:val="21"/>
        </w:rPr>
        <w:t>第四阶段推演（开始第二个项目的推演）</w:t>
      </w:r>
    </w:p>
    <w:p>
      <w:pPr>
        <w:pStyle w:val="8"/>
        <w:numPr>
          <w:ilvl w:val="0"/>
          <w:numId w:val="5"/>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Cs/>
          <w:color w:val="0D0D0D"/>
          <w:szCs w:val="21"/>
        </w:rPr>
        <w:t>新机会对项目边界的影响。</w:t>
      </w:r>
    </w:p>
    <w:p>
      <w:pPr>
        <w:pStyle w:val="8"/>
        <w:numPr>
          <w:ilvl w:val="0"/>
          <w:numId w:val="5"/>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Cs/>
          <w:color w:val="0D0D0D"/>
          <w:szCs w:val="21"/>
        </w:rPr>
        <w:t>项目成员的日常工作和项目工作的冲突。</w:t>
      </w:r>
    </w:p>
    <w:p>
      <w:pPr>
        <w:pStyle w:val="8"/>
        <w:numPr>
          <w:ilvl w:val="0"/>
          <w:numId w:val="5"/>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Cs/>
          <w:color w:val="0D0D0D"/>
          <w:szCs w:val="21"/>
        </w:rPr>
        <w:t>个别领导新的看法。</w:t>
      </w:r>
    </w:p>
    <w:p>
      <w:pPr>
        <w:pStyle w:val="8"/>
        <w:numPr>
          <w:ilvl w:val="0"/>
          <w:numId w:val="5"/>
        </w:numPr>
        <w:adjustRightInd w:val="0"/>
        <w:snapToGrid w:val="0"/>
        <w:spacing w:line="280" w:lineRule="exact"/>
        <w:ind w:firstLineChars="0"/>
        <w:rPr>
          <w:rFonts w:ascii="微软雅黑" w:hAnsi="微软雅黑" w:eastAsia="微软雅黑"/>
          <w:b/>
          <w:bCs/>
          <w:color w:val="0D0D0D"/>
          <w:szCs w:val="21"/>
        </w:rPr>
      </w:pPr>
      <w:r>
        <w:rPr>
          <w:rFonts w:hint="eastAsia" w:ascii="微软雅黑" w:hAnsi="微软雅黑" w:eastAsia="微软雅黑"/>
          <w:b/>
          <w:bCs/>
          <w:color w:val="0D0D0D"/>
          <w:szCs w:val="21"/>
        </w:rPr>
        <w:t>核心知识点：</w:t>
      </w:r>
    </w:p>
    <w:p>
      <w:pPr>
        <w:pStyle w:val="8"/>
        <w:numPr>
          <w:ilvl w:val="1"/>
          <w:numId w:val="5"/>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
          <w:bCs/>
          <w:color w:val="0D0D0D"/>
          <w:szCs w:val="21"/>
        </w:rPr>
        <w:t>项目进度管理</w:t>
      </w:r>
      <w:r>
        <w:rPr>
          <w:rFonts w:hint="eastAsia" w:ascii="微软雅黑" w:hAnsi="微软雅黑" w:eastAsia="微软雅黑"/>
          <w:bCs/>
          <w:color w:val="0D0D0D"/>
          <w:szCs w:val="21"/>
        </w:rPr>
        <w:t>：</w:t>
      </w:r>
    </w:p>
    <w:p>
      <w:pPr>
        <w:pStyle w:val="8"/>
        <w:numPr>
          <w:ilvl w:val="2"/>
          <w:numId w:val="5"/>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Cs/>
          <w:color w:val="0D0D0D"/>
          <w:szCs w:val="21"/>
        </w:rPr>
        <w:t>项目进度难以控制的原因。</w:t>
      </w:r>
    </w:p>
    <w:p>
      <w:pPr>
        <w:pStyle w:val="8"/>
        <w:numPr>
          <w:ilvl w:val="2"/>
          <w:numId w:val="5"/>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Cs/>
          <w:color w:val="0D0D0D"/>
          <w:szCs w:val="21"/>
        </w:rPr>
        <w:t>关键链法，研究TOC（瓶颈突破理论）在项目管理中的运用。</w:t>
      </w:r>
    </w:p>
    <w:p>
      <w:pPr>
        <w:pStyle w:val="8"/>
        <w:numPr>
          <w:ilvl w:val="2"/>
          <w:numId w:val="5"/>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Cs/>
          <w:color w:val="0D0D0D"/>
          <w:szCs w:val="21"/>
        </w:rPr>
        <w:t>找到项目瓶颈资源，释放潜能。</w:t>
      </w:r>
    </w:p>
    <w:p>
      <w:pPr>
        <w:pStyle w:val="8"/>
        <w:numPr>
          <w:ilvl w:val="2"/>
          <w:numId w:val="5"/>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Cs/>
          <w:color w:val="0D0D0D"/>
          <w:szCs w:val="21"/>
        </w:rPr>
        <w:t>项目管理的关键链对项目进度管理的应用。</w:t>
      </w:r>
    </w:p>
    <w:p>
      <w:pPr>
        <w:spacing w:line="280" w:lineRule="exact"/>
        <w:rPr>
          <w:rFonts w:ascii="微软雅黑" w:hAnsi="微软雅黑" w:eastAsia="微软雅黑"/>
          <w:b/>
          <w:szCs w:val="21"/>
        </w:rPr>
      </w:pPr>
      <w:r>
        <w:rPr>
          <w:rFonts w:hint="eastAsia" w:ascii="微软雅黑" w:hAnsi="微软雅黑" w:eastAsia="微软雅黑"/>
          <w:b/>
          <w:szCs w:val="21"/>
        </w:rPr>
        <w:t>第五阶段推演</w:t>
      </w:r>
    </w:p>
    <w:p>
      <w:pPr>
        <w:pStyle w:val="8"/>
        <w:numPr>
          <w:ilvl w:val="0"/>
          <w:numId w:val="5"/>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Cs/>
          <w:color w:val="0D0D0D"/>
          <w:szCs w:val="21"/>
        </w:rPr>
        <w:t>组织和项目的兼容问题。</w:t>
      </w:r>
    </w:p>
    <w:p>
      <w:pPr>
        <w:pStyle w:val="8"/>
        <w:numPr>
          <w:ilvl w:val="0"/>
          <w:numId w:val="5"/>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Cs/>
          <w:color w:val="0D0D0D"/>
          <w:szCs w:val="21"/>
        </w:rPr>
        <w:t>如何应对工作量的大幅增加。</w:t>
      </w:r>
    </w:p>
    <w:p>
      <w:pPr>
        <w:pStyle w:val="8"/>
        <w:numPr>
          <w:ilvl w:val="0"/>
          <w:numId w:val="5"/>
        </w:numPr>
        <w:adjustRightInd w:val="0"/>
        <w:snapToGrid w:val="0"/>
        <w:spacing w:line="280" w:lineRule="exact"/>
        <w:ind w:firstLineChars="0"/>
        <w:rPr>
          <w:rFonts w:ascii="微软雅黑" w:hAnsi="微软雅黑" w:eastAsia="微软雅黑"/>
          <w:b/>
          <w:bCs/>
          <w:color w:val="0D0D0D"/>
          <w:szCs w:val="21"/>
        </w:rPr>
      </w:pPr>
      <w:r>
        <w:rPr>
          <w:rFonts w:hint="eastAsia" w:ascii="微软雅黑" w:hAnsi="微软雅黑" w:eastAsia="微软雅黑"/>
          <w:b/>
          <w:bCs/>
          <w:color w:val="0D0D0D"/>
          <w:szCs w:val="21"/>
        </w:rPr>
        <w:t>核心知识点：</w:t>
      </w:r>
    </w:p>
    <w:p>
      <w:pPr>
        <w:pStyle w:val="8"/>
        <w:numPr>
          <w:ilvl w:val="1"/>
          <w:numId w:val="5"/>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
          <w:bCs/>
          <w:color w:val="0D0D0D"/>
          <w:szCs w:val="21"/>
        </w:rPr>
        <w:t>项目风险管理</w:t>
      </w:r>
      <w:r>
        <w:rPr>
          <w:rFonts w:hint="eastAsia" w:ascii="微软雅黑" w:hAnsi="微软雅黑" w:eastAsia="微软雅黑"/>
          <w:bCs/>
          <w:color w:val="0D0D0D"/>
          <w:szCs w:val="21"/>
        </w:rPr>
        <w:t>——预见并采取预防措施。</w:t>
      </w:r>
    </w:p>
    <w:p>
      <w:pPr>
        <w:pStyle w:val="8"/>
        <w:numPr>
          <w:ilvl w:val="1"/>
          <w:numId w:val="5"/>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
          <w:bCs/>
          <w:color w:val="0D0D0D"/>
          <w:szCs w:val="21"/>
        </w:rPr>
        <w:t>项目采购管理</w:t>
      </w:r>
      <w:r>
        <w:rPr>
          <w:rFonts w:hint="eastAsia" w:ascii="微软雅黑" w:hAnsi="微软雅黑" w:eastAsia="微软雅黑"/>
          <w:bCs/>
          <w:color w:val="0D0D0D"/>
          <w:szCs w:val="21"/>
        </w:rPr>
        <w:t>——识别供应商，通过合理采购化解压力并分摊风险。</w:t>
      </w:r>
    </w:p>
    <w:p>
      <w:pPr>
        <w:pStyle w:val="8"/>
        <w:numPr>
          <w:ilvl w:val="1"/>
          <w:numId w:val="5"/>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
          <w:bCs/>
          <w:color w:val="0D0D0D"/>
          <w:szCs w:val="21"/>
        </w:rPr>
        <w:t>项目质量管理</w:t>
      </w:r>
      <w:r>
        <w:rPr>
          <w:rFonts w:hint="eastAsia" w:ascii="微软雅黑" w:hAnsi="微软雅黑" w:eastAsia="微软雅黑"/>
          <w:bCs/>
          <w:color w:val="0D0D0D"/>
          <w:szCs w:val="21"/>
        </w:rPr>
        <w:t>——用恰当的方式科学评估项目的品质</w:t>
      </w:r>
    </w:p>
    <w:p>
      <w:pPr>
        <w:spacing w:line="280" w:lineRule="exact"/>
        <w:rPr>
          <w:rFonts w:ascii="微软雅黑" w:hAnsi="微软雅黑" w:eastAsia="微软雅黑"/>
          <w:b/>
          <w:szCs w:val="21"/>
        </w:rPr>
      </w:pPr>
      <w:r>
        <w:rPr>
          <w:rFonts w:hint="eastAsia" w:ascii="微软雅黑" w:hAnsi="微软雅黑" w:eastAsia="微软雅黑"/>
          <w:b/>
          <w:szCs w:val="21"/>
        </w:rPr>
        <w:t>第六阶段推演（完成第二个项目的推演）</w:t>
      </w:r>
    </w:p>
    <w:p>
      <w:pPr>
        <w:pStyle w:val="8"/>
        <w:numPr>
          <w:ilvl w:val="0"/>
          <w:numId w:val="5"/>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Cs/>
          <w:color w:val="0D0D0D"/>
          <w:szCs w:val="21"/>
        </w:rPr>
        <w:t>组织反映迟缓。</w:t>
      </w:r>
    </w:p>
    <w:p>
      <w:pPr>
        <w:pStyle w:val="8"/>
        <w:numPr>
          <w:ilvl w:val="0"/>
          <w:numId w:val="5"/>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Cs/>
          <w:color w:val="0D0D0D"/>
          <w:szCs w:val="21"/>
        </w:rPr>
        <w:t>组织能力不足。</w:t>
      </w:r>
    </w:p>
    <w:p>
      <w:pPr>
        <w:pStyle w:val="8"/>
        <w:numPr>
          <w:ilvl w:val="0"/>
          <w:numId w:val="5"/>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Cs/>
          <w:color w:val="0D0D0D"/>
          <w:szCs w:val="21"/>
        </w:rPr>
        <w:t>领导如何看到价值。</w:t>
      </w:r>
    </w:p>
    <w:p>
      <w:pPr>
        <w:pStyle w:val="8"/>
        <w:numPr>
          <w:ilvl w:val="0"/>
          <w:numId w:val="5"/>
        </w:numPr>
        <w:adjustRightInd w:val="0"/>
        <w:snapToGrid w:val="0"/>
        <w:spacing w:line="280" w:lineRule="exact"/>
        <w:ind w:firstLineChars="0"/>
        <w:rPr>
          <w:rFonts w:ascii="微软雅黑" w:hAnsi="微软雅黑" w:eastAsia="微软雅黑"/>
          <w:b/>
          <w:bCs/>
          <w:color w:val="0D0D0D"/>
          <w:szCs w:val="21"/>
        </w:rPr>
      </w:pPr>
      <w:r>
        <w:rPr>
          <w:rFonts w:hint="eastAsia" w:ascii="微软雅黑" w:hAnsi="微软雅黑" w:eastAsia="微软雅黑"/>
          <w:b/>
          <w:bCs/>
          <w:color w:val="0D0D0D"/>
          <w:szCs w:val="21"/>
        </w:rPr>
        <w:t>核心知识点：</w:t>
      </w:r>
    </w:p>
    <w:p>
      <w:pPr>
        <w:pStyle w:val="8"/>
        <w:numPr>
          <w:ilvl w:val="1"/>
          <w:numId w:val="5"/>
        </w:numPr>
        <w:adjustRightInd w:val="0"/>
        <w:snapToGrid w:val="0"/>
        <w:spacing w:line="280" w:lineRule="exact"/>
        <w:ind w:firstLineChars="0"/>
        <w:rPr>
          <w:rFonts w:ascii="微软雅黑" w:hAnsi="微软雅黑" w:eastAsia="微软雅黑"/>
          <w:bCs/>
          <w:color w:val="0D0D0D"/>
          <w:szCs w:val="21"/>
        </w:rPr>
      </w:pPr>
      <w:r>
        <w:rPr>
          <w:rFonts w:ascii="微软雅黑" w:hAnsi="微软雅黑" w:eastAsia="微软雅黑"/>
          <w:b/>
          <w:bCs/>
          <w:color w:val="0D0D0D"/>
          <w:szCs w:val="21"/>
        </w:rPr>
        <w:t>项目沟通管理</w:t>
      </w:r>
      <w:r>
        <w:rPr>
          <w:rFonts w:ascii="微软雅黑" w:hAnsi="微软雅黑" w:eastAsia="微软雅黑"/>
          <w:bCs/>
          <w:color w:val="0D0D0D"/>
          <w:szCs w:val="21"/>
        </w:rPr>
        <w:t>——项目经理</w:t>
      </w:r>
      <w:r>
        <w:rPr>
          <w:rFonts w:hint="eastAsia" w:ascii="微软雅黑" w:hAnsi="微软雅黑" w:eastAsia="微软雅黑"/>
          <w:bCs/>
          <w:color w:val="0D0D0D"/>
          <w:szCs w:val="21"/>
        </w:rPr>
        <w:t>70%以上的精力都用于沟通，如何用最佳的方式实现高效沟通是每个项目经理都需要把握的关键。</w:t>
      </w:r>
    </w:p>
    <w:p>
      <w:pPr>
        <w:adjustRightInd w:val="0"/>
        <w:snapToGrid w:val="0"/>
        <w:spacing w:line="280" w:lineRule="exact"/>
        <w:rPr>
          <w:rFonts w:ascii="微软雅黑" w:hAnsi="微软雅黑" w:eastAsia="微软雅黑"/>
          <w:b/>
          <w:bCs/>
          <w:color w:val="0D0D0D"/>
          <w:szCs w:val="21"/>
        </w:rPr>
      </w:pPr>
      <w:r>
        <w:rPr>
          <w:rFonts w:hint="eastAsia" w:ascii="微软雅黑" w:hAnsi="微软雅黑" w:eastAsia="微软雅黑"/>
          <w:b/>
          <w:bCs/>
          <w:color w:val="0D0D0D"/>
          <w:szCs w:val="21"/>
        </w:rPr>
        <w:t>案例分析及复盘</w:t>
      </w:r>
    </w:p>
    <w:p>
      <w:pPr>
        <w:pStyle w:val="8"/>
        <w:numPr>
          <w:ilvl w:val="0"/>
          <w:numId w:val="5"/>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Cs/>
          <w:color w:val="0D0D0D"/>
          <w:szCs w:val="21"/>
        </w:rPr>
        <w:t>分析模拟结果并对各阶段失败事件进行分析。</w:t>
      </w:r>
    </w:p>
    <w:p>
      <w:pPr>
        <w:pStyle w:val="8"/>
        <w:numPr>
          <w:ilvl w:val="0"/>
          <w:numId w:val="5"/>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Cs/>
          <w:color w:val="0D0D0D"/>
          <w:szCs w:val="21"/>
        </w:rPr>
        <w:t>各个阶段的输出和关键事项重新总结。</w:t>
      </w:r>
    </w:p>
    <w:p>
      <w:pPr>
        <w:pStyle w:val="8"/>
        <w:numPr>
          <w:ilvl w:val="0"/>
          <w:numId w:val="5"/>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Cs/>
          <w:color w:val="0D0D0D"/>
          <w:szCs w:val="21"/>
        </w:rPr>
        <w:t>分析三类利益相关方在不同阶段分别有什么需求。</w:t>
      </w:r>
    </w:p>
    <w:p>
      <w:pPr>
        <w:pStyle w:val="8"/>
        <w:numPr>
          <w:ilvl w:val="0"/>
          <w:numId w:val="5"/>
        </w:numPr>
        <w:adjustRightInd w:val="0"/>
        <w:snapToGrid w:val="0"/>
        <w:spacing w:line="280" w:lineRule="exact"/>
        <w:ind w:firstLineChars="0"/>
        <w:rPr>
          <w:rFonts w:ascii="微软雅黑" w:hAnsi="微软雅黑" w:eastAsia="微软雅黑"/>
          <w:bCs/>
          <w:color w:val="0D0D0D"/>
          <w:szCs w:val="21"/>
        </w:rPr>
      </w:pPr>
      <w:r>
        <w:rPr>
          <w:rFonts w:hint="eastAsia" w:ascii="微软雅黑" w:hAnsi="微软雅黑" w:eastAsia="微软雅黑"/>
          <w:bCs/>
          <w:color w:val="0D0D0D"/>
          <w:szCs w:val="21"/>
        </w:rPr>
        <w:t>针对各个阶段的各个利益相关方进行总结：项目经理的</w:t>
      </w:r>
      <w:bookmarkStart w:id="0" w:name="_GoBack"/>
      <w:bookmarkEnd w:id="0"/>
      <w:r>
        <w:rPr>
          <w:rFonts w:hint="eastAsia" w:ascii="微软雅黑" w:hAnsi="微软雅黑" w:eastAsia="微软雅黑"/>
          <w:bCs/>
          <w:color w:val="0D0D0D"/>
          <w:szCs w:val="21"/>
        </w:rPr>
        <w:t>应对策略。</w:t>
      </w:r>
    </w:p>
    <w:p>
      <w:pPr>
        <w:pStyle w:val="8"/>
        <w:widowControl/>
        <w:numPr>
          <w:ilvl w:val="0"/>
          <w:numId w:val="5"/>
        </w:numPr>
        <w:adjustRightInd w:val="0"/>
        <w:snapToGrid w:val="0"/>
        <w:spacing w:line="280" w:lineRule="exact"/>
        <w:ind w:firstLineChars="0"/>
        <w:jc w:val="left"/>
        <w:rPr>
          <w:rFonts w:ascii="微软雅黑" w:hAnsi="微软雅黑" w:eastAsia="微软雅黑"/>
          <w:szCs w:val="21"/>
        </w:rPr>
      </w:pPr>
      <w:r>
        <w:rPr>
          <w:rFonts w:hint="eastAsia" w:ascii="微软雅黑" w:hAnsi="微软雅黑" w:eastAsia="微软雅黑"/>
          <w:bCs/>
          <w:color w:val="0D0D0D"/>
          <w:szCs w:val="21"/>
        </w:rPr>
        <w:t>如何让时间和成本被有效的保证？</w:t>
      </w:r>
    </w:p>
    <w:p>
      <w:pPr>
        <w:pStyle w:val="8"/>
        <w:widowControl/>
        <w:numPr>
          <w:ilvl w:val="0"/>
          <w:numId w:val="5"/>
        </w:numPr>
        <w:adjustRightInd w:val="0"/>
        <w:snapToGrid w:val="0"/>
        <w:spacing w:line="280" w:lineRule="exact"/>
        <w:ind w:firstLineChars="0"/>
        <w:jc w:val="left"/>
        <w:rPr>
          <w:rFonts w:hint="eastAsia" w:ascii="微软雅黑" w:hAnsi="微软雅黑" w:eastAsia="微软雅黑"/>
          <w:szCs w:val="21"/>
        </w:rPr>
      </w:pPr>
      <w:r>
        <w:rPr>
          <w:rFonts w:hint="eastAsia" w:ascii="微软雅黑" w:hAnsi="微软雅黑" w:eastAsia="微软雅黑"/>
          <w:bCs/>
          <w:color w:val="0D0D0D"/>
          <w:szCs w:val="21"/>
        </w:rPr>
        <w:t>科学复盘：从项目中继续学习。</w:t>
      </w:r>
    </w:p>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sz w:val="13"/>
      </w:rPr>
    </w:pPr>
    <w:r>
      <w:rPr>
        <w:rFonts w:hint="eastAsia" w:ascii="微软雅黑" w:hAnsi="微软雅黑" w:eastAsia="微软雅黑"/>
        <w:b/>
        <w:sz w:val="21"/>
        <w:szCs w:val="21"/>
      </w:rPr>
      <w:t>标</w:t>
    </w:r>
    <w:r>
      <w:rPr>
        <w:rFonts w:hint="eastAsia" w:ascii="微软雅黑" w:hAnsi="微软雅黑" w:eastAsia="微软雅黑"/>
        <w:b/>
        <w:color w:val="FF0000"/>
        <w:sz w:val="21"/>
        <w:szCs w:val="21"/>
      </w:rPr>
      <w:t>★</w:t>
    </w:r>
    <w:r>
      <w:rPr>
        <w:rFonts w:hint="eastAsia" w:ascii="微软雅黑" w:hAnsi="微软雅黑" w:eastAsia="微软雅黑"/>
        <w:b/>
        <w:sz w:val="21"/>
        <w:szCs w:val="21"/>
      </w:rPr>
      <w:t>课程除线下授课外，也可使用“职场给</w:t>
    </w:r>
    <w:r>
      <w:rPr>
        <w:rFonts w:hint="eastAsia" w:ascii="微软雅黑" w:hAnsi="微软雅黑" w:eastAsia="微软雅黑"/>
        <w:b/>
        <w:color w:val="FF0000"/>
        <w:sz w:val="21"/>
        <w:szCs w:val="21"/>
      </w:rPr>
      <w:t>力</w:t>
    </w:r>
    <w:r>
      <w:rPr>
        <w:rFonts w:hint="eastAsia" w:ascii="微软雅黑" w:hAnsi="微软雅黑" w:eastAsia="微软雅黑"/>
        <w:b/>
        <w:sz w:val="21"/>
        <w:szCs w:val="21"/>
      </w:rPr>
      <w:t>”在线沙盘系统直播授课</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8725B0"/>
    <w:multiLevelType w:val="multilevel"/>
    <w:tmpl w:val="098725B0"/>
    <w:lvl w:ilvl="0" w:tentative="0">
      <w:start w:val="1"/>
      <w:numFmt w:val="bullet"/>
      <w:lvlText w:val=""/>
      <w:lvlJc w:val="left"/>
      <w:pPr>
        <w:ind w:left="420" w:hanging="420"/>
      </w:pPr>
      <w:rPr>
        <w:rFonts w:hint="default" w:ascii="Wingdings" w:hAnsi="Wingdings"/>
      </w:rPr>
    </w:lvl>
    <w:lvl w:ilvl="1" w:tentative="0">
      <w:start w:val="0"/>
      <w:numFmt w:val="bullet"/>
      <w:lvlText w:val="◆"/>
      <w:lvlJc w:val="left"/>
      <w:pPr>
        <w:ind w:left="780" w:hanging="360"/>
      </w:pPr>
      <w:rPr>
        <w:rFonts w:hint="eastAsia" w:ascii="微软雅黑" w:hAnsi="微软雅黑" w:eastAsia="微软雅黑" w:cs="Times New Roman"/>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8BF0C28"/>
    <w:multiLevelType w:val="multilevel"/>
    <w:tmpl w:val="18BF0C2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37934A15"/>
    <w:multiLevelType w:val="multilevel"/>
    <w:tmpl w:val="37934A1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497849C2"/>
    <w:multiLevelType w:val="multilevel"/>
    <w:tmpl w:val="497849C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72FC7395"/>
    <w:multiLevelType w:val="multilevel"/>
    <w:tmpl w:val="72FC7395"/>
    <w:lvl w:ilvl="0" w:tentative="0">
      <w:start w:val="1"/>
      <w:numFmt w:val="bullet"/>
      <w:lvlText w:val=""/>
      <w:lvlJc w:val="left"/>
      <w:pPr>
        <w:ind w:left="420" w:hanging="420"/>
      </w:pPr>
      <w:rPr>
        <w:rFonts w:hint="default" w:ascii="Wingdings" w:hAnsi="Wingdings"/>
      </w:rPr>
    </w:lvl>
    <w:lvl w:ilvl="1" w:tentative="0">
      <w:start w:val="0"/>
      <w:numFmt w:val="bullet"/>
      <w:lvlText w:val="◆"/>
      <w:lvlJc w:val="left"/>
      <w:pPr>
        <w:ind w:left="780" w:hanging="360"/>
      </w:pPr>
      <w:rPr>
        <w:rFonts w:hint="eastAsia" w:ascii="微软雅黑" w:hAnsi="微软雅黑" w:eastAsia="微软雅黑" w:cs="Times New Roman"/>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9A5FB1"/>
    <w:rsid w:val="089A5F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99"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nhideWhenUsed/>
    <w:uiPriority w:val="99"/>
    <w:pPr>
      <w:tabs>
        <w:tab w:val="center" w:pos="4153"/>
        <w:tab w:val="right" w:pos="8306"/>
      </w:tabs>
      <w:snapToGrid w:val="0"/>
      <w:jc w:val="left"/>
    </w:pPr>
    <w:rPr>
      <w:sz w:val="18"/>
      <w:szCs w:val="18"/>
    </w:rPr>
  </w:style>
  <w:style w:type="paragraph" w:styleId="3">
    <w:name w:val="header"/>
    <w:basedOn w:val="1"/>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Hyperlink"/>
    <w:basedOn w:val="6"/>
    <w:unhideWhenUsed/>
    <w:uiPriority w:val="99"/>
    <w:rPr>
      <w:color w:val="0563C1" w:themeColor="hyperlink"/>
      <w:u w:val="single"/>
      <w14:textFill>
        <w14:solidFill>
          <w14:schemeClr w14:val="hlink"/>
        </w14:solidFill>
      </w14:textFill>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2021-03-20T05:05:00Z</dcterms:created>
  <dc:creator>未妨惆怅是清狂</dc:creator>
  <cp:lastModifiedBy>未妨惆怅是清狂</cp:lastModifiedBy>
  <dcterms:modified xsi:type="dcterms:W3CDTF">2021-03-20T05:06:06Z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