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8"/>
        </w:rPr>
      </w:pPr>
      <w:r>
        <w:rPr>
          <w:rFonts w:hint="eastAsia" w:ascii="微软雅黑" w:hAnsi="微软雅黑" w:eastAsia="微软雅黑"/>
          <w:b/>
          <w:sz w:val="28"/>
        </w:rPr>
        <w:t>是非人</w:t>
      </w:r>
      <w:r>
        <w:rPr>
          <w:rFonts w:hint="eastAsia" w:ascii="微软雅黑" w:hAnsi="微软雅黑" w:eastAsia="微软雅黑"/>
          <w:b/>
          <w:color w:val="FF0000"/>
          <w:sz w:val="28"/>
        </w:rPr>
        <w:t>力</w:t>
      </w:r>
      <w:r>
        <w:rPr>
          <w:rFonts w:hint="eastAsia" w:ascii="微软雅黑" w:hAnsi="微软雅黑" w:eastAsia="微软雅黑"/>
          <w:b/>
          <w:sz w:val="28"/>
        </w:rPr>
        <w:t>——非人力资源经理的人力资源管理沙盘</w:t>
      </w:r>
      <w:r>
        <w:rPr>
          <w:rFonts w:hint="eastAsia" w:ascii="Arial" w:hAnsi="微软雅黑" w:eastAsia="微软雅黑" w:cs="Arial"/>
          <w:b/>
          <w:bCs/>
          <w:color w:val="FF0000"/>
          <w:sz w:val="32"/>
          <w:szCs w:val="56"/>
        </w:rPr>
        <w:t>★</w:t>
      </w:r>
    </w:p>
    <w:p>
      <w:pPr>
        <w:spacing w:line="320" w:lineRule="exact"/>
        <w:jc w:val="center"/>
        <w:rPr>
          <w:rFonts w:ascii="微软雅黑" w:hAnsi="微软雅黑" w:eastAsia="微软雅黑"/>
        </w:rPr>
      </w:pPr>
      <w:bookmarkStart w:id="0" w:name="_GoBack"/>
      <w:r>
        <w:rPr>
          <w:rFonts w:ascii="微软雅黑" w:hAnsi="微软雅黑" w:eastAsia="微软雅黑"/>
        </w:rPr>
        <w:drawing>
          <wp:anchor distT="0" distB="0" distL="114300" distR="114300" simplePos="0" relativeHeight="251676672" behindDoc="0" locked="0" layoutInCell="1" allowOverlap="1">
            <wp:simplePos x="0" y="0"/>
            <wp:positionH relativeFrom="column">
              <wp:posOffset>708660</wp:posOffset>
            </wp:positionH>
            <wp:positionV relativeFrom="paragraph">
              <wp:posOffset>30480</wp:posOffset>
            </wp:positionV>
            <wp:extent cx="4041140" cy="1508760"/>
            <wp:effectExtent l="0" t="0" r="16510" b="15240"/>
            <wp:wrapNone/>
            <wp:docPr id="23" name="图片 0" descr="是非人力 盘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0" descr="是非人力 盘面.jpg"/>
                    <pic:cNvPicPr>
                      <a:picLocks noChangeAspect="1"/>
                    </pic:cNvPicPr>
                  </pic:nvPicPr>
                  <pic:blipFill>
                    <a:blip r:embed="rId4" cstate="email"/>
                    <a:stretch>
                      <a:fillRect/>
                    </a:stretch>
                  </pic:blipFill>
                  <pic:spPr>
                    <a:xfrm>
                      <a:off x="0" y="0"/>
                      <a:ext cx="4041140" cy="1508760"/>
                    </a:xfrm>
                    <a:prstGeom prst="rect">
                      <a:avLst/>
                    </a:prstGeom>
                  </pic:spPr>
                </pic:pic>
              </a:graphicData>
            </a:graphic>
          </wp:anchor>
        </w:drawing>
      </w:r>
      <w:bookmarkEnd w:id="0"/>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p>
    <w:p>
      <w:pPr>
        <w:spacing w:line="320" w:lineRule="exact"/>
        <w:rPr>
          <w:rFonts w:ascii="微软雅黑" w:hAnsi="微软雅黑" w:eastAsia="微软雅黑"/>
          <w:b/>
        </w:rPr>
      </w:pPr>
      <w:r>
        <w:rPr>
          <w:rFonts w:hint="eastAsia" w:ascii="微软雅黑" w:hAnsi="微软雅黑" w:eastAsia="微软雅黑"/>
          <w:b/>
        </w:rPr>
        <w:t>一、课程背景：</w:t>
      </w:r>
    </w:p>
    <w:p>
      <w:pPr>
        <w:spacing w:line="320" w:lineRule="exact"/>
        <w:ind w:firstLine="420"/>
        <w:rPr>
          <w:rFonts w:ascii="微软雅黑" w:hAnsi="微软雅黑" w:eastAsia="微软雅黑"/>
        </w:rPr>
      </w:pPr>
      <w:r>
        <w:rPr>
          <w:rFonts w:hint="eastAsia" w:ascii="微软雅黑" w:hAnsi="微软雅黑" w:eastAsia="微软雅黑"/>
        </w:rPr>
        <w:t>管理者应该具备管人和理事的能力，然而现代企业的领导者往往都长于理事而疏于管人，其结果导致组织在招聘时遇人不淑，运营时员工无法胜任工作，培训效果欠佳，以及频繁的人才流失等等问题。由于与人打交道的行为比较感性，缺乏标准化的工具导致了人力资源管理特别是一线经理进行人力资源管理时遇到诸多困难，不知从何下手。</w:t>
      </w:r>
    </w:p>
    <w:p>
      <w:pPr>
        <w:spacing w:line="320" w:lineRule="exact"/>
        <w:ind w:firstLine="420"/>
        <w:rPr>
          <w:rFonts w:ascii="微软雅黑" w:hAnsi="微软雅黑" w:eastAsia="微软雅黑"/>
        </w:rPr>
      </w:pPr>
      <w:r>
        <w:rPr>
          <w:rFonts w:hint="eastAsia" w:ascii="微软雅黑" w:hAnsi="微软雅黑" w:eastAsia="微软雅黑"/>
        </w:rPr>
        <w:t>本课程将通过沙盘推演、案例分析、在线测评及解读、线上线下研讨等方式展开，为各位非人经理提供一系列标准化的人力资源管理工具，帮助他们能够在未来工作中合理地开展人力资源管理，从而提升团队的稳定性并提高集体执行力。</w:t>
      </w:r>
    </w:p>
    <w:p>
      <w:pPr>
        <w:spacing w:line="320" w:lineRule="exact"/>
        <w:ind w:firstLine="420"/>
        <w:rPr>
          <w:rFonts w:ascii="微软雅黑" w:hAnsi="微软雅黑" w:eastAsia="微软雅黑"/>
        </w:rPr>
      </w:pPr>
    </w:p>
    <w:p>
      <w:pPr>
        <w:spacing w:line="320" w:lineRule="exact"/>
        <w:rPr>
          <w:rFonts w:ascii="微软雅黑" w:hAnsi="微软雅黑" w:eastAsia="微软雅黑"/>
          <w:b/>
        </w:rPr>
      </w:pPr>
      <w:r>
        <w:rPr>
          <w:rFonts w:hint="eastAsia" w:ascii="微软雅黑" w:hAnsi="微软雅黑" w:eastAsia="微软雅黑"/>
          <w:b/>
        </w:rPr>
        <w:t>二、课程大纲：</w:t>
      </w:r>
    </w:p>
    <w:p>
      <w:pPr>
        <w:spacing w:line="320" w:lineRule="exact"/>
        <w:rPr>
          <w:rFonts w:ascii="微软雅黑" w:hAnsi="微软雅黑" w:eastAsia="微软雅黑"/>
        </w:rPr>
      </w:pPr>
      <w:r>
        <w:rPr>
          <w:rFonts w:hint="eastAsia" w:ascii="微软雅黑" w:hAnsi="微软雅黑" w:eastAsia="微软雅黑"/>
        </w:rPr>
        <w:t>一、导入篇：倾力理解“人力资源管理”</w:t>
      </w:r>
    </w:p>
    <w:p>
      <w:pPr>
        <w:pStyle w:val="4"/>
        <w:numPr>
          <w:ilvl w:val="0"/>
          <w:numId w:val="1"/>
        </w:numPr>
        <w:spacing w:line="320" w:lineRule="exact"/>
        <w:ind w:firstLineChars="0"/>
        <w:rPr>
          <w:rFonts w:ascii="微软雅黑" w:hAnsi="微软雅黑" w:eastAsia="微软雅黑"/>
        </w:rPr>
      </w:pPr>
      <w:r>
        <w:rPr>
          <w:rFonts w:hint="eastAsia" w:ascii="微软雅黑" w:hAnsi="微软雅黑" w:eastAsia="微软雅黑"/>
        </w:rPr>
        <w:t>什么是人力资源管理？</w:t>
      </w:r>
    </w:p>
    <w:p>
      <w:pPr>
        <w:pStyle w:val="4"/>
        <w:numPr>
          <w:ilvl w:val="1"/>
          <w:numId w:val="1"/>
        </w:numPr>
        <w:spacing w:line="320" w:lineRule="exact"/>
        <w:ind w:firstLineChars="0"/>
        <w:rPr>
          <w:rFonts w:ascii="微软雅黑" w:hAnsi="微软雅黑" w:eastAsia="微软雅黑"/>
        </w:rPr>
      </w:pPr>
      <w:r>
        <w:rPr>
          <w:rFonts w:hint="eastAsia" w:ascii="微软雅黑" w:hAnsi="微软雅黑" w:eastAsia="微软雅黑"/>
        </w:rPr>
        <w:t>人力资源管理的定义</w:t>
      </w:r>
    </w:p>
    <w:p>
      <w:pPr>
        <w:pStyle w:val="4"/>
        <w:numPr>
          <w:ilvl w:val="1"/>
          <w:numId w:val="1"/>
        </w:numPr>
        <w:spacing w:line="320" w:lineRule="exact"/>
        <w:ind w:firstLineChars="0"/>
        <w:rPr>
          <w:rFonts w:ascii="微软雅黑" w:hAnsi="微软雅黑" w:eastAsia="微软雅黑"/>
        </w:rPr>
      </w:pPr>
      <w:r>
        <w:rPr>
          <w:rFonts w:hint="eastAsia" w:ascii="微软雅黑" w:hAnsi="微软雅黑" w:eastAsia="微软雅黑"/>
        </w:rPr>
        <w:t>人力资源管理的应用范围</w:t>
      </w:r>
    </w:p>
    <w:p>
      <w:pPr>
        <w:pStyle w:val="4"/>
        <w:numPr>
          <w:ilvl w:val="0"/>
          <w:numId w:val="1"/>
        </w:numPr>
        <w:spacing w:line="320" w:lineRule="exact"/>
        <w:ind w:firstLineChars="0"/>
        <w:rPr>
          <w:rFonts w:ascii="微软雅黑" w:hAnsi="微软雅黑" w:eastAsia="微软雅黑"/>
        </w:rPr>
      </w:pPr>
      <w:r>
        <w:rPr>
          <w:rFonts w:hint="eastAsia" w:ascii="微软雅黑" w:hAnsi="微软雅黑" w:eastAsia="微软雅黑"/>
        </w:rPr>
        <w:t>人力资源管理与各级管理者的关系是什么？</w:t>
      </w:r>
    </w:p>
    <w:p>
      <w:pPr>
        <w:pStyle w:val="4"/>
        <w:numPr>
          <w:ilvl w:val="1"/>
          <w:numId w:val="1"/>
        </w:numPr>
        <w:spacing w:line="320" w:lineRule="exact"/>
        <w:ind w:firstLineChars="0"/>
        <w:rPr>
          <w:rFonts w:ascii="微软雅黑" w:hAnsi="微软雅黑" w:eastAsia="微软雅黑"/>
        </w:rPr>
      </w:pPr>
      <w:r>
        <w:rPr>
          <w:rFonts w:hint="eastAsia" w:ascii="微软雅黑" w:hAnsi="微软雅黑" w:eastAsia="微软雅黑"/>
        </w:rPr>
        <w:t>管人才</w:t>
      </w:r>
    </w:p>
    <w:p>
      <w:pPr>
        <w:pStyle w:val="4"/>
        <w:numPr>
          <w:ilvl w:val="2"/>
          <w:numId w:val="1"/>
        </w:numPr>
        <w:spacing w:line="320" w:lineRule="exact"/>
        <w:ind w:firstLineChars="0"/>
        <w:rPr>
          <w:rFonts w:ascii="微软雅黑" w:hAnsi="微软雅黑" w:eastAsia="微软雅黑"/>
        </w:rPr>
      </w:pPr>
      <w:r>
        <w:rPr>
          <w:rFonts w:hint="eastAsia" w:ascii="微软雅黑" w:hAnsi="微软雅黑" w:eastAsia="微软雅黑"/>
        </w:rPr>
        <w:t>选用预留裁</w:t>
      </w:r>
    </w:p>
    <w:p>
      <w:pPr>
        <w:pStyle w:val="4"/>
        <w:numPr>
          <w:ilvl w:val="1"/>
          <w:numId w:val="1"/>
        </w:numPr>
        <w:spacing w:line="320" w:lineRule="exact"/>
        <w:ind w:firstLineChars="0"/>
        <w:rPr>
          <w:rFonts w:ascii="微软雅黑" w:hAnsi="微软雅黑" w:eastAsia="微软雅黑"/>
        </w:rPr>
      </w:pPr>
      <w:r>
        <w:rPr>
          <w:rFonts w:hint="eastAsia" w:ascii="微软雅黑" w:hAnsi="微软雅黑" w:eastAsia="微软雅黑"/>
        </w:rPr>
        <w:t>理人事</w:t>
      </w:r>
    </w:p>
    <w:p>
      <w:pPr>
        <w:pStyle w:val="4"/>
        <w:numPr>
          <w:ilvl w:val="2"/>
          <w:numId w:val="1"/>
        </w:numPr>
        <w:spacing w:line="320" w:lineRule="exact"/>
        <w:ind w:firstLineChars="0"/>
        <w:rPr>
          <w:rFonts w:ascii="微软雅黑" w:hAnsi="微软雅黑" w:eastAsia="微软雅黑"/>
        </w:rPr>
      </w:pPr>
      <w:r>
        <w:rPr>
          <w:rFonts w:hint="eastAsia" w:ascii="微软雅黑" w:hAnsi="微软雅黑" w:eastAsia="微软雅黑"/>
        </w:rPr>
        <w:t>基础人事管理</w:t>
      </w:r>
    </w:p>
    <w:p>
      <w:pPr>
        <w:pStyle w:val="4"/>
        <w:numPr>
          <w:ilvl w:val="2"/>
          <w:numId w:val="1"/>
        </w:numPr>
        <w:spacing w:line="320" w:lineRule="exact"/>
        <w:ind w:firstLineChars="0"/>
        <w:rPr>
          <w:rFonts w:ascii="微软雅黑" w:hAnsi="微软雅黑" w:eastAsia="微软雅黑"/>
        </w:rPr>
      </w:pPr>
      <w:r>
        <w:rPr>
          <w:rFonts w:hint="eastAsia" w:ascii="微软雅黑" w:hAnsi="微软雅黑" w:eastAsia="微软雅黑"/>
        </w:rPr>
        <w:t>薪酬与绩效</w:t>
      </w:r>
    </w:p>
    <w:p>
      <w:pPr>
        <w:pStyle w:val="4"/>
        <w:numPr>
          <w:ilvl w:val="2"/>
          <w:numId w:val="1"/>
        </w:numPr>
        <w:spacing w:line="320" w:lineRule="exact"/>
        <w:ind w:firstLineChars="0"/>
        <w:rPr>
          <w:rFonts w:ascii="微软雅黑" w:hAnsi="微软雅黑" w:eastAsia="微软雅黑"/>
        </w:rPr>
      </w:pPr>
      <w:r>
        <w:rPr>
          <w:rFonts w:hint="eastAsia" w:ascii="微软雅黑" w:hAnsi="微软雅黑" w:eastAsia="微软雅黑"/>
        </w:rPr>
        <w:t>培训于人才发展</w:t>
      </w:r>
    </w:p>
    <w:p>
      <w:pPr>
        <w:pStyle w:val="4"/>
        <w:numPr>
          <w:ilvl w:val="0"/>
          <w:numId w:val="1"/>
        </w:numPr>
        <w:spacing w:line="320" w:lineRule="exact"/>
        <w:ind w:firstLineChars="0"/>
        <w:rPr>
          <w:rFonts w:ascii="微软雅黑" w:hAnsi="微软雅黑" w:eastAsia="微软雅黑"/>
        </w:rPr>
      </w:pPr>
      <w:r>
        <w:rPr>
          <w:rFonts w:hint="eastAsia" w:ascii="微软雅黑" w:hAnsi="微软雅黑" w:eastAsia="微软雅黑"/>
        </w:rPr>
        <w:t>各级管理者为什么要学习人力资源？</w:t>
      </w:r>
    </w:p>
    <w:p>
      <w:pPr>
        <w:spacing w:line="320" w:lineRule="exact"/>
        <w:rPr>
          <w:rFonts w:ascii="微软雅黑" w:hAnsi="微软雅黑" w:eastAsia="微软雅黑"/>
        </w:rPr>
      </w:pPr>
      <w:r>
        <w:rPr>
          <w:rFonts w:hint="eastAsia" w:ascii="微软雅黑" w:hAnsi="微软雅黑" w:eastAsia="微软雅黑"/>
        </w:rPr>
        <w:t>二、选人篇：眼力识人，甄选英才</w:t>
      </w:r>
    </w:p>
    <w:p>
      <w:pPr>
        <w:pStyle w:val="4"/>
        <w:numPr>
          <w:ilvl w:val="0"/>
          <w:numId w:val="2"/>
        </w:numPr>
        <w:spacing w:line="320" w:lineRule="exact"/>
        <w:ind w:firstLineChars="0"/>
        <w:rPr>
          <w:rFonts w:ascii="微软雅黑" w:hAnsi="微软雅黑" w:eastAsia="微软雅黑"/>
        </w:rPr>
      </w:pPr>
      <w:r>
        <w:rPr>
          <w:rFonts w:hint="eastAsia" w:ascii="微软雅黑" w:hAnsi="微软雅黑" w:eastAsia="微软雅黑"/>
        </w:rPr>
        <w:t>招聘分工于技巧</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招聘前的考虑事项</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面试过程的注意事项</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面试常见问题</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新员工融入与试用期观察</w:t>
      </w:r>
    </w:p>
    <w:p>
      <w:pPr>
        <w:pStyle w:val="4"/>
        <w:numPr>
          <w:ilvl w:val="0"/>
          <w:numId w:val="2"/>
        </w:numPr>
        <w:spacing w:line="320" w:lineRule="exact"/>
        <w:ind w:firstLineChars="0"/>
        <w:rPr>
          <w:rFonts w:ascii="微软雅黑" w:hAnsi="微软雅黑" w:eastAsia="微软雅黑"/>
        </w:rPr>
      </w:pPr>
      <w:r>
        <w:rPr>
          <w:rFonts w:hint="eastAsia" w:ascii="微软雅黑" w:hAnsi="微软雅黑" w:eastAsia="微软雅黑"/>
        </w:rPr>
        <w:t>员工潜力评估与提拔</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如何有的放矢的选拔人才</w:t>
      </w:r>
    </w:p>
    <w:p>
      <w:pPr>
        <w:pStyle w:val="4"/>
        <w:numPr>
          <w:ilvl w:val="1"/>
          <w:numId w:val="2"/>
        </w:numPr>
        <w:spacing w:line="320" w:lineRule="exact"/>
        <w:ind w:firstLineChars="0"/>
        <w:rPr>
          <w:rFonts w:ascii="微软雅黑" w:hAnsi="微软雅黑" w:eastAsia="微软雅黑"/>
        </w:rPr>
      </w:pPr>
      <w:r>
        <w:rPr>
          <w:rFonts w:hint="eastAsia" w:ascii="微软雅黑" w:hAnsi="微软雅黑" w:eastAsia="微软雅黑"/>
        </w:rPr>
        <w:t>望闻问切甄选人才</w:t>
      </w:r>
    </w:p>
    <w:p>
      <w:pPr>
        <w:spacing w:line="320" w:lineRule="exact"/>
        <w:rPr>
          <w:rFonts w:ascii="微软雅黑" w:hAnsi="微软雅黑" w:eastAsia="微软雅黑"/>
        </w:rPr>
      </w:pPr>
      <w:r>
        <w:rPr>
          <w:rFonts w:hint="eastAsia" w:ascii="微软雅黑" w:hAnsi="微软雅黑" w:eastAsia="微软雅黑"/>
        </w:rPr>
        <w:t>三、用人篇：用人得力，人尽其才</w:t>
      </w:r>
    </w:p>
    <w:p>
      <w:pPr>
        <w:pStyle w:val="4"/>
        <w:numPr>
          <w:ilvl w:val="0"/>
          <w:numId w:val="3"/>
        </w:numPr>
        <w:spacing w:line="320" w:lineRule="exact"/>
        <w:ind w:firstLineChars="0"/>
        <w:rPr>
          <w:rFonts w:ascii="微软雅黑" w:hAnsi="微软雅黑" w:eastAsia="微软雅黑"/>
        </w:rPr>
      </w:pPr>
      <w:r>
        <w:rPr>
          <w:rFonts w:hint="eastAsia" w:ascii="微软雅黑" w:hAnsi="微软雅黑" w:eastAsia="微软雅黑"/>
        </w:rPr>
        <w:t>如何做到人岗匹配</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明确公司目标</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设定职能部门</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设定内部岗位</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配置相应人员</w:t>
      </w:r>
    </w:p>
    <w:p>
      <w:pPr>
        <w:pStyle w:val="4"/>
        <w:numPr>
          <w:ilvl w:val="0"/>
          <w:numId w:val="3"/>
        </w:numPr>
        <w:spacing w:line="320" w:lineRule="exact"/>
        <w:ind w:firstLineChars="0"/>
        <w:rPr>
          <w:rFonts w:ascii="微软雅黑" w:hAnsi="微软雅黑" w:eastAsia="微软雅黑"/>
        </w:rPr>
      </w:pPr>
      <w:r>
        <w:rPr>
          <w:rFonts w:hint="eastAsia" w:ascii="微软雅黑" w:hAnsi="微软雅黑" w:eastAsia="微软雅黑"/>
        </w:rPr>
        <w:t>知人善用，对症下药</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MBTI职业性格测评</w:t>
      </w:r>
    </w:p>
    <w:p>
      <w:pPr>
        <w:pStyle w:val="4"/>
        <w:numPr>
          <w:ilvl w:val="0"/>
          <w:numId w:val="3"/>
        </w:numPr>
        <w:spacing w:line="320" w:lineRule="exact"/>
        <w:ind w:firstLineChars="0"/>
        <w:rPr>
          <w:rFonts w:ascii="微软雅黑" w:hAnsi="微软雅黑" w:eastAsia="微软雅黑"/>
        </w:rPr>
      </w:pPr>
      <w:r>
        <w:rPr>
          <w:rFonts w:hint="eastAsia" w:ascii="微软雅黑" w:hAnsi="微软雅黑" w:eastAsia="微软雅黑"/>
        </w:rPr>
        <w:t>绩效管理与员工激励</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绩效管理的作用</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绩效管理的过程</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绩效管理的实施原则</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绩效管理的常见误区</w:t>
      </w:r>
    </w:p>
    <w:p>
      <w:pPr>
        <w:pStyle w:val="4"/>
        <w:numPr>
          <w:ilvl w:val="1"/>
          <w:numId w:val="3"/>
        </w:numPr>
        <w:spacing w:line="320" w:lineRule="exact"/>
        <w:ind w:firstLineChars="0"/>
        <w:rPr>
          <w:rFonts w:ascii="微软雅黑" w:hAnsi="微软雅黑" w:eastAsia="微软雅黑"/>
        </w:rPr>
      </w:pPr>
      <w:r>
        <w:rPr>
          <w:rFonts w:hint="eastAsia" w:ascii="微软雅黑" w:hAnsi="微软雅黑" w:eastAsia="微软雅黑"/>
        </w:rPr>
        <w:t>因人而异的激励机制</w:t>
      </w:r>
    </w:p>
    <w:p>
      <w:pPr>
        <w:spacing w:line="320" w:lineRule="exact"/>
        <w:rPr>
          <w:rFonts w:ascii="微软雅黑" w:hAnsi="微软雅黑" w:eastAsia="微软雅黑"/>
        </w:rPr>
      </w:pPr>
      <w:r>
        <w:rPr>
          <w:rFonts w:hint="eastAsia" w:ascii="微软雅黑" w:hAnsi="微软雅黑" w:eastAsia="微软雅黑"/>
        </w:rPr>
        <w:t>四、育人篇：精进学力，提升业绩</w:t>
      </w:r>
    </w:p>
    <w:p>
      <w:pPr>
        <w:pStyle w:val="4"/>
        <w:numPr>
          <w:ilvl w:val="0"/>
          <w:numId w:val="4"/>
        </w:numPr>
        <w:spacing w:line="320" w:lineRule="exact"/>
        <w:ind w:firstLineChars="0"/>
        <w:rPr>
          <w:rFonts w:ascii="微软雅黑" w:hAnsi="微软雅黑" w:eastAsia="微软雅黑"/>
        </w:rPr>
      </w:pPr>
      <w:r>
        <w:rPr>
          <w:rFonts w:hint="eastAsia" w:ascii="微软雅黑" w:hAnsi="微软雅黑" w:eastAsia="微软雅黑"/>
        </w:rPr>
        <w:t>为什么要培养下属</w:t>
      </w:r>
    </w:p>
    <w:p>
      <w:pPr>
        <w:pStyle w:val="4"/>
        <w:numPr>
          <w:ilvl w:val="1"/>
          <w:numId w:val="4"/>
        </w:numPr>
        <w:spacing w:line="320" w:lineRule="exact"/>
        <w:ind w:firstLineChars="0"/>
        <w:rPr>
          <w:rFonts w:ascii="微软雅黑" w:hAnsi="微软雅黑" w:eastAsia="微软雅黑"/>
        </w:rPr>
      </w:pPr>
      <w:r>
        <w:rPr>
          <w:rFonts w:hint="eastAsia" w:ascii="微软雅黑" w:hAnsi="微软雅黑" w:eastAsia="微软雅黑"/>
        </w:rPr>
        <w:t>培养下属对团队的影响</w:t>
      </w:r>
    </w:p>
    <w:p>
      <w:pPr>
        <w:pStyle w:val="4"/>
        <w:numPr>
          <w:ilvl w:val="1"/>
          <w:numId w:val="4"/>
        </w:numPr>
        <w:spacing w:line="320" w:lineRule="exact"/>
        <w:ind w:firstLineChars="0"/>
        <w:rPr>
          <w:rFonts w:ascii="微软雅黑" w:hAnsi="微软雅黑" w:eastAsia="微软雅黑"/>
        </w:rPr>
      </w:pPr>
      <w:r>
        <w:rPr>
          <w:rFonts w:hint="eastAsia" w:ascii="微软雅黑" w:hAnsi="微软雅黑" w:eastAsia="微软雅黑"/>
        </w:rPr>
        <w:t>培养下属对组织发展的影响</w:t>
      </w:r>
    </w:p>
    <w:p>
      <w:pPr>
        <w:pStyle w:val="4"/>
        <w:numPr>
          <w:ilvl w:val="0"/>
          <w:numId w:val="4"/>
        </w:numPr>
        <w:spacing w:line="320" w:lineRule="exact"/>
        <w:ind w:firstLineChars="0"/>
        <w:rPr>
          <w:rFonts w:ascii="微软雅黑" w:hAnsi="微软雅黑" w:eastAsia="微软雅黑"/>
        </w:rPr>
      </w:pPr>
      <w:r>
        <w:rPr>
          <w:rFonts w:hint="eastAsia" w:ascii="微软雅黑" w:hAnsi="微软雅黑" w:eastAsia="微软雅黑"/>
        </w:rPr>
        <w:t>如何做一个培养下属的领导</w:t>
      </w:r>
    </w:p>
    <w:p>
      <w:pPr>
        <w:pStyle w:val="4"/>
        <w:numPr>
          <w:ilvl w:val="1"/>
          <w:numId w:val="4"/>
        </w:numPr>
        <w:spacing w:line="320" w:lineRule="exact"/>
        <w:ind w:firstLineChars="0"/>
        <w:rPr>
          <w:rFonts w:ascii="微软雅黑" w:hAnsi="微软雅黑" w:eastAsia="微软雅黑"/>
        </w:rPr>
      </w:pPr>
      <w:r>
        <w:rPr>
          <w:rFonts w:hint="eastAsia" w:ascii="微软雅黑" w:hAnsi="微软雅黑" w:eastAsia="微软雅黑"/>
        </w:rPr>
        <w:t>改变十二种拒绝培养下属的错误观念</w:t>
      </w:r>
    </w:p>
    <w:p>
      <w:pPr>
        <w:pStyle w:val="4"/>
        <w:numPr>
          <w:ilvl w:val="1"/>
          <w:numId w:val="4"/>
        </w:numPr>
        <w:spacing w:line="320" w:lineRule="exact"/>
        <w:ind w:firstLineChars="0"/>
        <w:rPr>
          <w:rFonts w:ascii="微软雅黑" w:hAnsi="微软雅黑" w:eastAsia="微软雅黑"/>
        </w:rPr>
      </w:pPr>
      <w:r>
        <w:rPr>
          <w:rFonts w:hint="eastAsia" w:ascii="微软雅黑" w:hAnsi="微软雅黑" w:eastAsia="微软雅黑"/>
        </w:rPr>
        <w:t>育人六步骤</w:t>
      </w:r>
    </w:p>
    <w:p>
      <w:pPr>
        <w:pStyle w:val="4"/>
        <w:numPr>
          <w:ilvl w:val="1"/>
          <w:numId w:val="4"/>
        </w:numPr>
        <w:spacing w:line="320" w:lineRule="exact"/>
        <w:ind w:firstLineChars="0"/>
        <w:rPr>
          <w:rFonts w:ascii="微软雅黑" w:hAnsi="微软雅黑" w:eastAsia="微软雅黑"/>
        </w:rPr>
      </w:pPr>
      <w:r>
        <w:rPr>
          <w:rFonts w:hint="eastAsia" w:ascii="微软雅黑" w:hAnsi="微软雅黑" w:eastAsia="微软雅黑"/>
        </w:rPr>
        <w:t>培训的三种途径</w:t>
      </w:r>
    </w:p>
    <w:p>
      <w:pPr>
        <w:spacing w:line="320" w:lineRule="exact"/>
        <w:rPr>
          <w:rFonts w:ascii="微软雅黑" w:hAnsi="微软雅黑" w:eastAsia="微软雅黑"/>
        </w:rPr>
      </w:pPr>
      <w:r>
        <w:rPr>
          <w:rFonts w:hint="eastAsia" w:ascii="微软雅黑" w:hAnsi="微软雅黑" w:eastAsia="微软雅黑"/>
        </w:rPr>
        <w:t>五、留人有术，聚力发展</w:t>
      </w:r>
    </w:p>
    <w:p>
      <w:pPr>
        <w:pStyle w:val="4"/>
        <w:numPr>
          <w:ilvl w:val="0"/>
          <w:numId w:val="5"/>
        </w:numPr>
        <w:spacing w:line="320" w:lineRule="exact"/>
        <w:ind w:firstLineChars="0"/>
        <w:rPr>
          <w:rFonts w:ascii="微软雅黑" w:hAnsi="微软雅黑" w:eastAsia="微软雅黑"/>
        </w:rPr>
      </w:pPr>
      <w:r>
        <w:rPr>
          <w:rFonts w:hint="eastAsia" w:ascii="微软雅黑" w:hAnsi="微软雅黑" w:eastAsia="微软雅黑"/>
        </w:rPr>
        <w:t>员工流失的盘点</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人员流失的成本</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员工流失的周期规律</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员工萌生去意的预兆</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员工萌生去意的原因</w:t>
      </w:r>
    </w:p>
    <w:p>
      <w:pPr>
        <w:pStyle w:val="4"/>
        <w:numPr>
          <w:ilvl w:val="0"/>
          <w:numId w:val="5"/>
        </w:numPr>
        <w:spacing w:line="320" w:lineRule="exact"/>
        <w:ind w:firstLineChars="0"/>
        <w:rPr>
          <w:rFonts w:ascii="微软雅黑" w:hAnsi="微软雅黑" w:eastAsia="微软雅黑"/>
        </w:rPr>
      </w:pPr>
      <w:r>
        <w:rPr>
          <w:rFonts w:hint="eastAsia" w:ascii="微软雅黑" w:hAnsi="微软雅黑" w:eastAsia="微软雅黑"/>
        </w:rPr>
        <w:t>留人技巧盘点</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因人而异的留人对策</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用团队目标留人</w:t>
      </w:r>
    </w:p>
    <w:p>
      <w:pPr>
        <w:pStyle w:val="4"/>
        <w:numPr>
          <w:ilvl w:val="1"/>
          <w:numId w:val="5"/>
        </w:numPr>
        <w:spacing w:line="320" w:lineRule="exact"/>
        <w:ind w:firstLineChars="0"/>
        <w:rPr>
          <w:rFonts w:ascii="微软雅黑" w:hAnsi="微软雅黑" w:eastAsia="微软雅黑"/>
        </w:rPr>
      </w:pPr>
      <w:r>
        <w:rPr>
          <w:rFonts w:hint="eastAsia" w:ascii="微软雅黑" w:hAnsi="微软雅黑" w:eastAsia="微软雅黑"/>
        </w:rPr>
        <w:t>用组织文化留人</w:t>
      </w:r>
    </w:p>
    <w:p>
      <w:pPr>
        <w:spacing w:line="320" w:lineRule="exact"/>
        <w:rPr>
          <w:rFonts w:ascii="微软雅黑" w:hAnsi="微软雅黑" w:eastAsia="微软雅黑"/>
        </w:rPr>
      </w:pPr>
    </w:p>
    <w:p>
      <w:pPr>
        <w:spacing w:line="320" w:lineRule="exact"/>
        <w:rPr>
          <w:rFonts w:ascii="微软雅黑" w:hAnsi="微软雅黑" w:eastAsia="微软雅黑"/>
          <w:b/>
        </w:rPr>
      </w:pPr>
      <w:r>
        <w:rPr>
          <w:rFonts w:hint="eastAsia" w:ascii="微软雅黑" w:hAnsi="微软雅黑" w:eastAsia="微软雅黑"/>
          <w:b/>
        </w:rPr>
        <w:t>三、课程特色：</w:t>
      </w:r>
    </w:p>
    <w:p>
      <w:pPr>
        <w:spacing w:line="320" w:lineRule="exact"/>
        <w:rPr>
          <w:rFonts w:ascii="微软雅黑" w:hAnsi="微软雅黑" w:eastAsia="微软雅黑"/>
        </w:rPr>
      </w:pPr>
      <w:r>
        <w:rPr>
          <w:rFonts w:hint="eastAsia" w:ascii="微软雅黑" w:hAnsi="微软雅黑" w:eastAsia="微软雅黑"/>
        </w:rPr>
        <w:tab/>
      </w:r>
      <w:r>
        <w:rPr>
          <w:rFonts w:hint="eastAsia" w:ascii="微软雅黑" w:hAnsi="微软雅黑" w:eastAsia="微软雅黑"/>
        </w:rPr>
        <w:t>这场为期2天的互动课程将以情景沙盘的案例展开，每一组学员都将集体扮演一个直线经理，在努力执行组织任务的过程当中合理地进行人才的选用预留，从而在凝聚团队的同时完成业务目标。学员在沙盘推演中的每一个决策都会牵一发而动全身，通过这种思维过程帮助学员看到人力资源管理的全景图，进而做好自己现实团队的发展定位，并做好未来的人力资源管理计划。</w:t>
      </w:r>
    </w:p>
    <w:p>
      <w:pPr>
        <w:spacing w:line="320" w:lineRule="exact"/>
        <w:rPr>
          <w:rFonts w:ascii="微软雅黑" w:hAnsi="微软雅黑" w:eastAsia="微软雅黑"/>
        </w:rPr>
      </w:pPr>
    </w:p>
    <w:p>
      <w:pPr>
        <w:spacing w:line="320" w:lineRule="exact"/>
        <w:rPr>
          <w:rFonts w:ascii="微软雅黑" w:hAnsi="微软雅黑" w:eastAsia="微软雅黑"/>
          <w:b/>
        </w:rPr>
      </w:pPr>
      <w:r>
        <w:rPr>
          <w:rFonts w:hint="eastAsia" w:ascii="微软雅黑" w:hAnsi="微软雅黑" w:eastAsia="微软雅黑"/>
          <w:b/>
        </w:rPr>
        <w:t>四、受众群体：</w:t>
      </w:r>
    </w:p>
    <w:p>
      <w:pPr>
        <w:spacing w:line="320" w:lineRule="exact"/>
        <w:rPr>
          <w:rFonts w:ascii="微软雅黑" w:hAnsi="微软雅黑" w:eastAsia="微软雅黑"/>
        </w:rPr>
      </w:pPr>
      <w:r>
        <w:rPr>
          <w:rFonts w:hint="eastAsia" w:ascii="微软雅黑" w:hAnsi="微软雅黑" w:eastAsia="微软雅黑"/>
        </w:rPr>
        <w:t>所有需要管理员工的非人力资源管理者</w:t>
      </w:r>
    </w:p>
    <w:p>
      <w:pPr>
        <w:spacing w:line="320" w:lineRule="exact"/>
        <w:rPr>
          <w:rFonts w:ascii="微软雅黑" w:hAnsi="微软雅黑" w:eastAsia="微软雅黑"/>
        </w:rPr>
      </w:pPr>
    </w:p>
    <w:p>
      <w:pPr>
        <w:spacing w:line="320" w:lineRule="exact"/>
        <w:rPr>
          <w:rFonts w:ascii="微软雅黑" w:hAnsi="微软雅黑" w:eastAsia="微软雅黑"/>
          <w:b/>
        </w:rPr>
      </w:pPr>
      <w:r>
        <w:rPr>
          <w:rFonts w:hint="eastAsia" w:ascii="微软雅黑" w:hAnsi="微软雅黑" w:eastAsia="微软雅黑"/>
          <w:b/>
        </w:rPr>
        <w:t>五、授课时间：</w:t>
      </w:r>
    </w:p>
    <w:p>
      <w:r>
        <w:rPr>
          <w:rFonts w:hint="eastAsia" w:ascii="微软雅黑" w:hAnsi="微软雅黑" w:eastAsia="微软雅黑"/>
        </w:rPr>
        <w:t>标准课时2天（12小时），可压缩至1天（6小时）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C58AE"/>
    <w:multiLevelType w:val="multilevel"/>
    <w:tmpl w:val="0C0C58A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3751A54"/>
    <w:multiLevelType w:val="multilevel"/>
    <w:tmpl w:val="13751A5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214481B"/>
    <w:multiLevelType w:val="multilevel"/>
    <w:tmpl w:val="4214481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6A21605"/>
    <w:multiLevelType w:val="multilevel"/>
    <w:tmpl w:val="66A2160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749559A5"/>
    <w:multiLevelType w:val="multilevel"/>
    <w:tmpl w:val="749559A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B0894"/>
    <w:rsid w:val="42DB0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2021-03-20T05:04:00Z</dcterms:created>
  <dc:creator>未妨惆怅是清狂</dc:creator>
  <cp:lastModifiedBy>未妨惆怅是清狂</cp:lastModifiedBy>
  <dcterms:modified xsi:type="dcterms:W3CDTF">2021-03-20T05:04:24Z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