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outlineLvl w:val="1"/>
        <w:rPr>
          <w:rFonts w:ascii="Arial" w:hAnsi="Arial" w:eastAsia="微软雅黑" w:cs="Arial"/>
          <w:b/>
          <w:bCs/>
          <w:color w:val="000000" w:themeColor="text1"/>
          <w:sz w:val="32"/>
          <w:szCs w:val="56"/>
          <w14:textFill>
            <w14:solidFill>
              <w14:schemeClr w14:val="tx1"/>
            </w14:solidFill>
          </w14:textFill>
        </w:rPr>
      </w:pPr>
      <w:bookmarkStart w:id="0" w:name="_Toc238581569"/>
      <w:bookmarkStart w:id="1" w:name="_Toc347957776"/>
      <w:r>
        <w:rPr>
          <w:rFonts w:ascii="Arial" w:hAnsi="微软雅黑" w:eastAsia="微软雅黑" w:cs="Arial"/>
          <w:b/>
          <w:bCs/>
          <w:color w:val="000000" w:themeColor="text1"/>
          <w:sz w:val="32"/>
          <w:szCs w:val="56"/>
          <w14:textFill>
            <w14:solidFill>
              <w14:schemeClr w14:val="tx1"/>
            </w14:solidFill>
          </w14:textFill>
        </w:rPr>
        <w:t>复盘慧</w:t>
      </w:r>
      <w:r>
        <w:rPr>
          <w:rFonts w:ascii="Arial" w:hAnsi="微软雅黑" w:eastAsia="微软雅黑" w:cs="Arial"/>
          <w:b/>
          <w:bCs/>
          <w:color w:val="FF0000"/>
          <w:sz w:val="32"/>
          <w:szCs w:val="56"/>
        </w:rPr>
        <w:t>力</w:t>
      </w:r>
      <w:r>
        <w:rPr>
          <w:rFonts w:ascii="Arial" w:hAnsi="微软雅黑" w:eastAsia="微软雅黑" w:cs="Arial"/>
          <w:b/>
          <w:bCs/>
          <w:color w:val="000000" w:themeColor="text1"/>
          <w:sz w:val="32"/>
          <w:szCs w:val="56"/>
          <w14:textFill>
            <w14:solidFill>
              <w14:schemeClr w14:val="tx1"/>
            </w14:solidFill>
          </w14:textFill>
        </w:rPr>
        <w:t>：项目管理沙盘课程</w:t>
      </w:r>
      <w:bookmarkEnd w:id="0"/>
      <w:bookmarkEnd w:id="1"/>
      <w:r>
        <w:rPr>
          <w:rFonts w:hint="eastAsia" w:ascii="Arial" w:hAnsi="微软雅黑" w:eastAsia="微软雅黑" w:cs="Arial"/>
          <w:b/>
          <w:bCs/>
          <w:color w:val="FF0000"/>
          <w:sz w:val="32"/>
          <w:szCs w:val="56"/>
        </w:rPr>
        <w:t>★</w:t>
      </w:r>
    </w:p>
    <w:p>
      <w:pPr>
        <w:spacing w:line="300" w:lineRule="exact"/>
        <w:jc w:val="center"/>
        <w:rPr>
          <w:rFonts w:ascii="Arial" w:hAnsi="Arial" w:eastAsia="微软雅黑" w:cs="Arial"/>
        </w:rPr>
      </w:pPr>
      <w:bookmarkStart w:id="2" w:name="_GoBack"/>
      <w:bookmarkEnd w:id="2"/>
    </w:p>
    <w:p>
      <w:pPr>
        <w:adjustRightInd w:val="0"/>
        <w:snapToGrid w:val="0"/>
        <w:spacing w:line="300" w:lineRule="exact"/>
        <w:rPr>
          <w:rFonts w:ascii="Arial" w:hAnsi="Arial" w:eastAsia="微软雅黑" w:cs="Arial"/>
          <w:b/>
          <w:bCs/>
          <w:color w:val="0D0D0D"/>
          <w:sz w:val="20"/>
          <w:szCs w:val="21"/>
        </w:rPr>
      </w:pPr>
      <w:r>
        <w:rPr>
          <w:rFonts w:ascii="Arial" w:hAnsi="微软雅黑" w:eastAsia="微软雅黑" w:cs="Arial"/>
          <w:b/>
          <w:bCs/>
          <w:color w:val="0D0D0D"/>
          <w:sz w:val="20"/>
          <w:szCs w:val="21"/>
        </w:rPr>
        <w:t>一、课程背景：</w:t>
      </w:r>
    </w:p>
    <w:p>
      <w:pPr>
        <w:adjustRightInd w:val="0"/>
        <w:snapToGrid w:val="0"/>
        <w:spacing w:line="300" w:lineRule="exact"/>
        <w:ind w:firstLine="420"/>
        <w:rPr>
          <w:rFonts w:ascii="Arial" w:hAnsi="Arial" w:eastAsia="微软雅黑" w:cs="Arial"/>
          <w:bCs/>
          <w:color w:val="0D0D0D"/>
          <w:sz w:val="20"/>
          <w:szCs w:val="21"/>
        </w:rPr>
      </w:pPr>
      <w:r>
        <w:rPr>
          <w:rFonts w:ascii="Arial" w:hAnsi="微软雅黑" w:eastAsia="微软雅黑" w:cs="Arial"/>
          <w:bCs/>
          <w:color w:val="0D0D0D"/>
          <w:sz w:val="20"/>
          <w:szCs w:val="21"/>
        </w:rPr>
        <w:t>随着互联网、工业</w:t>
      </w:r>
      <w:r>
        <w:rPr>
          <w:rFonts w:ascii="Arial" w:hAnsi="Arial" w:eastAsia="微软雅黑" w:cs="Arial"/>
          <w:bCs/>
          <w:color w:val="0D0D0D"/>
          <w:sz w:val="20"/>
          <w:szCs w:val="21"/>
        </w:rPr>
        <w:t>4.0</w:t>
      </w:r>
      <w:r>
        <w:rPr>
          <w:rFonts w:ascii="Arial" w:hAnsi="微软雅黑" w:eastAsia="微软雅黑" w:cs="Arial"/>
          <w:bCs/>
          <w:color w:val="0D0D0D"/>
          <w:sz w:val="20"/>
          <w:szCs w:val="21"/>
        </w:rPr>
        <w:t>的蓬勃发展，企业发展已经从过去的大公司吃小公司过渡到现在快公司吃慢公司的格局。如果说传统管理是通过持续改进来控制成本，那么项目管理的核心就是在不确定的环境中提升速度。</w:t>
      </w:r>
    </w:p>
    <w:p>
      <w:pPr>
        <w:adjustRightInd w:val="0"/>
        <w:snapToGrid w:val="0"/>
        <w:spacing w:line="300" w:lineRule="exact"/>
        <w:ind w:firstLine="420"/>
        <w:rPr>
          <w:rFonts w:ascii="Arial" w:hAnsi="Arial" w:eastAsia="微软雅黑" w:cs="Arial"/>
          <w:bCs/>
          <w:color w:val="0D0D0D"/>
          <w:sz w:val="20"/>
          <w:szCs w:val="21"/>
        </w:rPr>
      </w:pPr>
      <w:r>
        <w:rPr>
          <w:rFonts w:ascii="Arial" w:hAnsi="微软雅黑" w:eastAsia="微软雅黑" w:cs="Arial"/>
          <w:bCs/>
          <w:color w:val="0D0D0D"/>
          <w:sz w:val="20"/>
          <w:szCs w:val="21"/>
        </w:rPr>
        <w:t>本课程不仅教授项目管理的工具和方法，更通过沙盘模拟形式让每一个学员学会项目管理的核心技术。</w:t>
      </w:r>
    </w:p>
    <w:p>
      <w:pPr>
        <w:adjustRightInd w:val="0"/>
        <w:snapToGrid w:val="0"/>
        <w:spacing w:line="300" w:lineRule="exact"/>
        <w:rPr>
          <w:rFonts w:ascii="Arial" w:hAnsi="微软雅黑" w:eastAsia="微软雅黑" w:cs="Arial"/>
          <w:b/>
          <w:bCs/>
          <w:color w:val="0D0D0D"/>
          <w:sz w:val="20"/>
          <w:szCs w:val="21"/>
        </w:rPr>
      </w:pPr>
    </w:p>
    <w:p>
      <w:pPr>
        <w:adjustRightInd w:val="0"/>
        <w:snapToGrid w:val="0"/>
        <w:spacing w:line="300" w:lineRule="exact"/>
        <w:rPr>
          <w:rFonts w:ascii="Arial" w:hAnsi="Arial" w:eastAsia="微软雅黑" w:cs="Arial"/>
          <w:bCs/>
          <w:color w:val="0D0D0D"/>
          <w:sz w:val="20"/>
          <w:szCs w:val="21"/>
        </w:rPr>
      </w:pPr>
      <w:r>
        <w:rPr>
          <w:rFonts w:ascii="Arial" w:hAnsi="微软雅黑" w:eastAsia="微软雅黑" w:cs="Arial"/>
          <w:b/>
          <w:bCs/>
          <w:color w:val="0D0D0D"/>
          <w:sz w:val="20"/>
          <w:szCs w:val="21"/>
        </w:rPr>
        <w:t>二、课程收益</w:t>
      </w:r>
      <w:r>
        <w:rPr>
          <w:rFonts w:ascii="Arial" w:hAnsi="微软雅黑" w:eastAsia="微软雅黑" w:cs="Arial"/>
          <w:bCs/>
          <w:color w:val="0D0D0D"/>
          <w:sz w:val="20"/>
          <w:szCs w:val="21"/>
        </w:rPr>
        <w:t>：</w:t>
      </w:r>
    </w:p>
    <w:p>
      <w:pPr>
        <w:pStyle w:val="5"/>
        <w:numPr>
          <w:ilvl w:val="0"/>
          <w:numId w:val="1"/>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学习项目管理的十大知识体系、五大过程组；</w:t>
      </w:r>
    </w:p>
    <w:p>
      <w:pPr>
        <w:pStyle w:val="5"/>
        <w:numPr>
          <w:ilvl w:val="0"/>
          <w:numId w:val="1"/>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学习关键链项目管理；</w:t>
      </w:r>
    </w:p>
    <w:p>
      <w:pPr>
        <w:pStyle w:val="5"/>
        <w:numPr>
          <w:ilvl w:val="0"/>
          <w:numId w:val="1"/>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认识到在项目管理中，抓对事情比把事情做对更重要；</w:t>
      </w:r>
    </w:p>
    <w:p>
      <w:pPr>
        <w:pStyle w:val="5"/>
        <w:numPr>
          <w:ilvl w:val="0"/>
          <w:numId w:val="1"/>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帮助学员从发挥项目最大的商业价值的角度评价项目；</w:t>
      </w:r>
    </w:p>
    <w:p>
      <w:pPr>
        <w:pStyle w:val="5"/>
        <w:numPr>
          <w:ilvl w:val="0"/>
          <w:numId w:val="1"/>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有能力确定各个阶段的工作重点；</w:t>
      </w:r>
    </w:p>
    <w:p>
      <w:pPr>
        <w:pStyle w:val="5"/>
        <w:numPr>
          <w:ilvl w:val="0"/>
          <w:numId w:val="1"/>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理解不能等待公司领导和业务部门来支持项目，而必须调动组织内部各个利益相关方发挥应有的作用；</w:t>
      </w:r>
    </w:p>
    <w:p>
      <w:pPr>
        <w:pStyle w:val="5"/>
        <w:numPr>
          <w:ilvl w:val="0"/>
          <w:numId w:val="1"/>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学会从利益相关方的角度，处理事件的策略；</w:t>
      </w:r>
    </w:p>
    <w:p>
      <w:pPr>
        <w:pStyle w:val="5"/>
        <w:numPr>
          <w:ilvl w:val="0"/>
          <w:numId w:val="1"/>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学习增强各个相关方的参与度的方法。</w:t>
      </w:r>
    </w:p>
    <w:p>
      <w:pPr>
        <w:adjustRightInd w:val="0"/>
        <w:snapToGrid w:val="0"/>
        <w:spacing w:line="300" w:lineRule="exact"/>
        <w:rPr>
          <w:rFonts w:ascii="Arial" w:hAnsi="微软雅黑" w:eastAsia="微软雅黑" w:cs="Arial"/>
          <w:b/>
          <w:bCs/>
          <w:color w:val="0D0D0D"/>
          <w:sz w:val="20"/>
          <w:szCs w:val="21"/>
        </w:rPr>
      </w:pPr>
    </w:p>
    <w:p>
      <w:pPr>
        <w:adjustRightInd w:val="0"/>
        <w:snapToGrid w:val="0"/>
        <w:spacing w:line="300" w:lineRule="exact"/>
        <w:rPr>
          <w:rFonts w:ascii="Arial" w:hAnsi="Arial" w:eastAsia="微软雅黑" w:cs="Arial"/>
          <w:b/>
          <w:bCs/>
          <w:color w:val="0D0D0D"/>
          <w:sz w:val="20"/>
          <w:szCs w:val="21"/>
        </w:rPr>
      </w:pPr>
      <w:r>
        <w:rPr>
          <w:rFonts w:ascii="Arial" w:hAnsi="微软雅黑" w:eastAsia="微软雅黑" w:cs="Arial"/>
          <w:b/>
          <w:bCs/>
          <w:color w:val="0D0D0D"/>
          <w:sz w:val="20"/>
          <w:szCs w:val="21"/>
        </w:rPr>
        <w:t>三、核心知识点：</w:t>
      </w:r>
    </w:p>
    <w:p>
      <w:pPr>
        <w:adjustRightInd w:val="0"/>
        <w:snapToGrid w:val="0"/>
        <w:spacing w:line="300" w:lineRule="exact"/>
        <w:rPr>
          <w:rFonts w:ascii="Arial" w:hAnsi="Arial" w:eastAsia="微软雅黑" w:cs="Arial"/>
          <w:bCs/>
          <w:color w:val="0D0D0D"/>
          <w:sz w:val="20"/>
          <w:szCs w:val="21"/>
        </w:rPr>
      </w:pPr>
      <w:r>
        <w:rPr>
          <w:rFonts w:ascii="Arial" w:hAnsi="Arial" w:eastAsia="微软雅黑" w:cs="Arial"/>
          <w:bCs/>
          <w:color w:val="0D0D0D"/>
          <w:sz w:val="20"/>
          <w:szCs w:val="21"/>
        </w:rPr>
        <w:t>1</w:t>
      </w:r>
      <w:r>
        <w:rPr>
          <w:rFonts w:ascii="Arial" w:hAnsi="微软雅黑" w:eastAsia="微软雅黑" w:cs="Arial"/>
          <w:bCs/>
          <w:color w:val="0D0D0D"/>
          <w:sz w:val="20"/>
          <w:szCs w:val="21"/>
        </w:rPr>
        <w:t>、项目管理与传统管理的区别：</w:t>
      </w:r>
    </w:p>
    <w:p>
      <w:pPr>
        <w:pStyle w:val="5"/>
        <w:numPr>
          <w:ilvl w:val="0"/>
          <w:numId w:val="2"/>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成本思维与效率思维区别</w:t>
      </w:r>
    </w:p>
    <w:p>
      <w:pPr>
        <w:pStyle w:val="5"/>
        <w:numPr>
          <w:ilvl w:val="0"/>
          <w:numId w:val="2"/>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项目制转型的操作模型</w:t>
      </w:r>
    </w:p>
    <w:p>
      <w:pPr>
        <w:pStyle w:val="5"/>
        <w:numPr>
          <w:ilvl w:val="0"/>
          <w:numId w:val="2"/>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项目制转型</w:t>
      </w:r>
      <w:r>
        <w:rPr>
          <w:rFonts w:ascii="Arial" w:hAnsi="Arial" w:eastAsia="微软雅黑" w:cs="Arial"/>
          <w:bCs/>
          <w:color w:val="0D0D0D"/>
          <w:sz w:val="20"/>
          <w:szCs w:val="21"/>
        </w:rPr>
        <w:t>——</w:t>
      </w:r>
      <w:r>
        <w:rPr>
          <w:rFonts w:ascii="Arial" w:hAnsi="微软雅黑" w:eastAsia="微软雅黑" w:cs="Arial"/>
          <w:bCs/>
          <w:color w:val="0D0D0D"/>
          <w:sz w:val="20"/>
          <w:szCs w:val="21"/>
        </w:rPr>
        <w:t>关注速度，唯快不破</w:t>
      </w:r>
    </w:p>
    <w:p>
      <w:pPr>
        <w:pStyle w:val="5"/>
        <w:numPr>
          <w:ilvl w:val="0"/>
          <w:numId w:val="2"/>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项目制转型后核算机制</w:t>
      </w:r>
    </w:p>
    <w:p>
      <w:pPr>
        <w:adjustRightInd w:val="0"/>
        <w:snapToGrid w:val="0"/>
        <w:spacing w:line="300" w:lineRule="exact"/>
        <w:rPr>
          <w:rFonts w:ascii="Arial" w:hAnsi="Arial" w:eastAsia="微软雅黑" w:cs="Arial"/>
          <w:bCs/>
          <w:color w:val="0D0D0D"/>
          <w:sz w:val="20"/>
          <w:szCs w:val="21"/>
        </w:rPr>
      </w:pPr>
      <w:r>
        <w:rPr>
          <w:rFonts w:ascii="Arial" w:hAnsi="Arial" w:eastAsia="微软雅黑" w:cs="Arial"/>
          <w:bCs/>
          <w:color w:val="0D0D0D"/>
          <w:sz w:val="20"/>
          <w:szCs w:val="21"/>
        </w:rPr>
        <w:t>2</w:t>
      </w:r>
      <w:r>
        <w:rPr>
          <w:rFonts w:ascii="Arial" w:hAnsi="微软雅黑" w:eastAsia="微软雅黑" w:cs="Arial"/>
          <w:bCs/>
          <w:color w:val="0D0D0D"/>
          <w:sz w:val="20"/>
          <w:szCs w:val="21"/>
        </w:rPr>
        <w:t>、项目管理的十大知识体系：</w:t>
      </w:r>
    </w:p>
    <w:p>
      <w:pPr>
        <w:pStyle w:val="5"/>
        <w:numPr>
          <w:ilvl w:val="0"/>
          <w:numId w:val="3"/>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整体管理、范围管理、进度管理、成本管理、质量管理、资源管理、风险管理、沟通管理、采购管理、相关方管理</w:t>
      </w:r>
    </w:p>
    <w:p>
      <w:pPr>
        <w:adjustRightInd w:val="0"/>
        <w:snapToGrid w:val="0"/>
        <w:spacing w:line="300" w:lineRule="exact"/>
        <w:rPr>
          <w:rFonts w:ascii="Arial" w:hAnsi="Arial" w:eastAsia="微软雅黑" w:cs="Arial"/>
          <w:bCs/>
          <w:color w:val="0D0D0D"/>
          <w:sz w:val="20"/>
          <w:szCs w:val="21"/>
        </w:rPr>
      </w:pPr>
      <w:r>
        <w:rPr>
          <w:rFonts w:ascii="Arial" w:hAnsi="Arial" w:eastAsia="微软雅黑" w:cs="Arial"/>
          <w:bCs/>
          <w:color w:val="0D0D0D"/>
          <w:sz w:val="20"/>
          <w:szCs w:val="21"/>
        </w:rPr>
        <w:t>3</w:t>
      </w:r>
      <w:r>
        <w:rPr>
          <w:rFonts w:ascii="Arial" w:hAnsi="微软雅黑" w:eastAsia="微软雅黑" w:cs="Arial"/>
          <w:bCs/>
          <w:color w:val="0D0D0D"/>
          <w:sz w:val="20"/>
          <w:szCs w:val="21"/>
        </w:rPr>
        <w:t>、项目型企业失败因素分析</w:t>
      </w:r>
    </w:p>
    <w:p>
      <w:pPr>
        <w:pStyle w:val="5"/>
        <w:numPr>
          <w:ilvl w:val="0"/>
          <w:numId w:val="4"/>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从单纯的项目管理技巧到应对项目外部环境变化。</w:t>
      </w:r>
    </w:p>
    <w:p>
      <w:pPr>
        <w:pStyle w:val="5"/>
        <w:numPr>
          <w:ilvl w:val="0"/>
          <w:numId w:val="4"/>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定义对项目产生影响的利益相关方。　</w:t>
      </w:r>
    </w:p>
    <w:p>
      <w:pPr>
        <w:adjustRightInd w:val="0"/>
        <w:snapToGrid w:val="0"/>
        <w:spacing w:line="300" w:lineRule="exact"/>
        <w:rPr>
          <w:rFonts w:ascii="Arial" w:hAnsi="Arial" w:eastAsia="微软雅黑" w:cs="Arial"/>
          <w:bCs/>
          <w:color w:val="0D0D0D"/>
          <w:sz w:val="20"/>
          <w:szCs w:val="21"/>
        </w:rPr>
      </w:pPr>
      <w:r>
        <w:rPr>
          <w:rFonts w:ascii="Arial" w:hAnsi="Arial" w:eastAsia="微软雅黑" w:cs="Arial"/>
          <w:bCs/>
          <w:color w:val="0D0D0D"/>
          <w:sz w:val="20"/>
          <w:szCs w:val="21"/>
        </w:rPr>
        <w:t>4</w:t>
      </w:r>
      <w:r>
        <w:rPr>
          <w:rFonts w:ascii="Arial" w:hAnsi="微软雅黑" w:eastAsia="微软雅黑" w:cs="Arial"/>
          <w:bCs/>
          <w:color w:val="0D0D0D"/>
          <w:sz w:val="20"/>
          <w:szCs w:val="21"/>
        </w:rPr>
        <w:t>、项目的商业价值和利益相关方对商业价值的影响。</w:t>
      </w:r>
    </w:p>
    <w:p>
      <w:pPr>
        <w:pStyle w:val="5"/>
        <w:numPr>
          <w:ilvl w:val="0"/>
          <w:numId w:val="4"/>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为什么项目成功不等于让大家满意？</w:t>
      </w:r>
    </w:p>
    <w:p>
      <w:pPr>
        <w:pStyle w:val="5"/>
        <w:numPr>
          <w:ilvl w:val="0"/>
          <w:numId w:val="4"/>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区分项目产出和商业价值。</w:t>
      </w:r>
    </w:p>
    <w:p>
      <w:pPr>
        <w:pStyle w:val="5"/>
        <w:numPr>
          <w:ilvl w:val="0"/>
          <w:numId w:val="4"/>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项目经理对利益相关方的调动作用。</w:t>
      </w:r>
    </w:p>
    <w:p>
      <w:pPr>
        <w:adjustRightInd w:val="0"/>
        <w:snapToGrid w:val="0"/>
        <w:spacing w:line="300" w:lineRule="exact"/>
        <w:rPr>
          <w:rFonts w:ascii="Arial" w:hAnsi="微软雅黑" w:eastAsia="微软雅黑" w:cs="Arial"/>
          <w:b/>
          <w:sz w:val="20"/>
        </w:rPr>
      </w:pPr>
    </w:p>
    <w:p>
      <w:pPr>
        <w:adjustRightInd w:val="0"/>
        <w:snapToGrid w:val="0"/>
        <w:spacing w:line="300" w:lineRule="exact"/>
        <w:rPr>
          <w:rFonts w:ascii="Arial" w:hAnsi="Arial" w:eastAsia="微软雅黑" w:cs="Arial"/>
          <w:b/>
          <w:sz w:val="20"/>
        </w:rPr>
      </w:pPr>
      <w:r>
        <w:rPr>
          <w:rFonts w:ascii="Arial" w:hAnsi="微软雅黑" w:eastAsia="微软雅黑" w:cs="Arial"/>
          <w:b/>
          <w:sz w:val="20"/>
        </w:rPr>
        <w:t>四、目标受众：</w:t>
      </w:r>
    </w:p>
    <w:p>
      <w:pPr>
        <w:adjustRightInd w:val="0"/>
        <w:snapToGrid w:val="0"/>
        <w:spacing w:line="300" w:lineRule="exact"/>
        <w:rPr>
          <w:rFonts w:ascii="Arial" w:hAnsi="Arial" w:eastAsia="微软雅黑" w:cs="Arial"/>
          <w:sz w:val="20"/>
        </w:rPr>
      </w:pPr>
      <w:r>
        <w:rPr>
          <w:rFonts w:ascii="Arial" w:hAnsi="微软雅黑" w:eastAsia="微软雅黑" w:cs="Arial"/>
          <w:sz w:val="20"/>
        </w:rPr>
        <w:t>企业内需要参与项目管理的相关方。建议</w:t>
      </w:r>
      <w:r>
        <w:rPr>
          <w:rFonts w:ascii="Arial" w:hAnsi="Arial" w:eastAsia="微软雅黑" w:cs="Arial"/>
          <w:sz w:val="20"/>
        </w:rPr>
        <w:t>6</w:t>
      </w:r>
      <w:r>
        <w:rPr>
          <w:rFonts w:ascii="Arial" w:hAnsi="微软雅黑" w:eastAsia="微软雅黑" w:cs="Arial"/>
          <w:sz w:val="20"/>
        </w:rPr>
        <w:t>组以内，</w:t>
      </w:r>
      <w:r>
        <w:rPr>
          <w:rFonts w:ascii="Arial" w:hAnsi="Arial" w:eastAsia="微软雅黑" w:cs="Arial"/>
          <w:sz w:val="20"/>
        </w:rPr>
        <w:t>4-8</w:t>
      </w:r>
      <w:r>
        <w:rPr>
          <w:rFonts w:ascii="Arial" w:hAnsi="微软雅黑" w:eastAsia="微软雅黑" w:cs="Arial"/>
          <w:sz w:val="20"/>
        </w:rPr>
        <w:t>人。</w:t>
      </w:r>
    </w:p>
    <w:p>
      <w:pPr>
        <w:adjustRightInd w:val="0"/>
        <w:snapToGrid w:val="0"/>
        <w:spacing w:line="300" w:lineRule="exact"/>
        <w:rPr>
          <w:rFonts w:ascii="Arial" w:hAnsi="微软雅黑" w:eastAsia="微软雅黑" w:cs="Arial"/>
          <w:b/>
          <w:sz w:val="20"/>
        </w:rPr>
      </w:pPr>
    </w:p>
    <w:p>
      <w:pPr>
        <w:adjustRightInd w:val="0"/>
        <w:snapToGrid w:val="0"/>
        <w:spacing w:line="300" w:lineRule="exact"/>
        <w:rPr>
          <w:rFonts w:ascii="Arial" w:hAnsi="Arial" w:eastAsia="微软雅黑" w:cs="Arial"/>
          <w:b/>
          <w:sz w:val="20"/>
        </w:rPr>
      </w:pPr>
      <w:r>
        <w:rPr>
          <w:rFonts w:ascii="Arial" w:hAnsi="微软雅黑" w:eastAsia="微软雅黑" w:cs="Arial"/>
          <w:b/>
          <w:sz w:val="20"/>
        </w:rPr>
        <w:t>五、</w:t>
      </w:r>
      <w:r>
        <w:rPr>
          <w:rFonts w:hint="eastAsia" w:ascii="Arial" w:hAnsi="微软雅黑" w:eastAsia="微软雅黑" w:cs="Arial"/>
          <w:b/>
          <w:sz w:val="20"/>
        </w:rPr>
        <w:t>授课时间</w:t>
      </w:r>
      <w:r>
        <w:rPr>
          <w:rFonts w:ascii="Arial" w:hAnsi="微软雅黑" w:eastAsia="微软雅黑" w:cs="Arial"/>
          <w:b/>
          <w:sz w:val="20"/>
        </w:rPr>
        <w:t>：</w:t>
      </w:r>
    </w:p>
    <w:p>
      <w:pPr>
        <w:adjustRightInd w:val="0"/>
        <w:snapToGrid w:val="0"/>
        <w:spacing w:line="300" w:lineRule="exact"/>
        <w:rPr>
          <w:rFonts w:ascii="Arial" w:hAnsi="Arial" w:eastAsia="微软雅黑" w:cs="Arial"/>
          <w:sz w:val="20"/>
        </w:rPr>
      </w:pPr>
      <w:r>
        <w:rPr>
          <w:rFonts w:ascii="Arial" w:hAnsi="微软雅黑" w:eastAsia="微软雅黑" w:cs="Arial"/>
          <w:sz w:val="20"/>
        </w:rPr>
        <w:t>课时：</w:t>
      </w:r>
      <w:r>
        <w:rPr>
          <w:rFonts w:ascii="Arial" w:hAnsi="Arial" w:eastAsia="微软雅黑" w:cs="Arial"/>
          <w:sz w:val="20"/>
        </w:rPr>
        <w:t>2</w:t>
      </w:r>
      <w:r>
        <w:rPr>
          <w:rFonts w:ascii="Arial" w:hAnsi="微软雅黑" w:eastAsia="微软雅黑" w:cs="Arial"/>
          <w:sz w:val="20"/>
        </w:rPr>
        <w:t>天（</w:t>
      </w:r>
      <w:r>
        <w:rPr>
          <w:rFonts w:ascii="Arial" w:hAnsi="Arial" w:eastAsia="微软雅黑" w:cs="Arial"/>
          <w:sz w:val="20"/>
        </w:rPr>
        <w:t>12</w:t>
      </w:r>
      <w:r>
        <w:rPr>
          <w:rFonts w:ascii="Arial" w:hAnsi="微软雅黑" w:eastAsia="微软雅黑" w:cs="Arial"/>
          <w:sz w:val="20"/>
        </w:rPr>
        <w:t>小时），可压缩至</w:t>
      </w:r>
      <w:r>
        <w:rPr>
          <w:rFonts w:hint="eastAsia" w:ascii="Arial" w:hAnsi="微软雅黑" w:eastAsia="微软雅黑" w:cs="Arial"/>
          <w:sz w:val="20"/>
        </w:rPr>
        <w:t>1天（6小时）</w:t>
      </w:r>
    </w:p>
    <w:p>
      <w:pPr>
        <w:adjustRightInd w:val="0"/>
        <w:snapToGrid w:val="0"/>
        <w:spacing w:line="300" w:lineRule="exact"/>
        <w:rPr>
          <w:rFonts w:ascii="Arial" w:hAnsi="微软雅黑" w:eastAsia="微软雅黑" w:cs="Arial"/>
          <w:b/>
          <w:sz w:val="20"/>
        </w:rPr>
      </w:pPr>
    </w:p>
    <w:p>
      <w:pPr>
        <w:adjustRightInd w:val="0"/>
        <w:snapToGrid w:val="0"/>
        <w:spacing w:line="300" w:lineRule="exact"/>
        <w:rPr>
          <w:rFonts w:ascii="Arial" w:hAnsi="微软雅黑" w:eastAsia="微软雅黑" w:cs="Arial"/>
          <w:b/>
          <w:sz w:val="20"/>
        </w:rPr>
      </w:pPr>
      <w:r>
        <w:rPr>
          <w:rFonts w:hint="eastAsia" w:ascii="Arial" w:hAnsi="微软雅黑" w:eastAsia="微软雅黑" w:cs="Arial"/>
          <w:b/>
          <w:sz w:val="20"/>
        </w:rPr>
        <w:t>六、受众群体：</w:t>
      </w:r>
    </w:p>
    <w:p>
      <w:pPr>
        <w:adjustRightInd w:val="0"/>
        <w:snapToGrid w:val="0"/>
        <w:spacing w:line="300" w:lineRule="exact"/>
        <w:rPr>
          <w:rFonts w:ascii="Arial" w:hAnsi="微软雅黑" w:eastAsia="微软雅黑" w:cs="Arial"/>
          <w:b/>
          <w:bCs/>
          <w:color w:val="0D0D0D"/>
          <w:sz w:val="20"/>
          <w:szCs w:val="21"/>
        </w:rPr>
      </w:pPr>
      <w:r>
        <w:rPr>
          <w:rFonts w:ascii="Arial" w:hAnsi="微软雅黑" w:eastAsia="微软雅黑" w:cs="Arial"/>
          <w:sz w:val="20"/>
        </w:rPr>
        <w:t>人数：</w:t>
      </w:r>
      <w:r>
        <w:rPr>
          <w:rFonts w:ascii="Arial" w:hAnsi="Arial" w:eastAsia="微软雅黑" w:cs="Arial"/>
          <w:sz w:val="20"/>
        </w:rPr>
        <w:t>6</w:t>
      </w:r>
      <w:r>
        <w:rPr>
          <w:rFonts w:ascii="Arial" w:hAnsi="微软雅黑" w:eastAsia="微软雅黑" w:cs="Arial"/>
          <w:sz w:val="20"/>
        </w:rPr>
        <w:t>组以内，每组</w:t>
      </w:r>
      <w:r>
        <w:rPr>
          <w:rFonts w:ascii="Arial" w:hAnsi="Arial" w:eastAsia="微软雅黑" w:cs="Arial"/>
          <w:sz w:val="20"/>
        </w:rPr>
        <w:t>4-8</w:t>
      </w:r>
      <w:r>
        <w:rPr>
          <w:rFonts w:ascii="Arial" w:hAnsi="微软雅黑" w:eastAsia="微软雅黑" w:cs="Arial"/>
          <w:sz w:val="20"/>
        </w:rPr>
        <w:t>人为宜</w:t>
      </w:r>
      <w:r>
        <w:rPr>
          <w:rFonts w:ascii="Arial" w:hAnsi="微软雅黑" w:eastAsia="微软雅黑" w:cs="Arial"/>
          <w:b/>
          <w:bCs/>
          <w:color w:val="0D0D0D"/>
          <w:sz w:val="20"/>
          <w:szCs w:val="21"/>
        </w:rPr>
        <w:br w:type="page"/>
      </w:r>
    </w:p>
    <w:p>
      <w:pPr>
        <w:adjustRightInd w:val="0"/>
        <w:snapToGrid w:val="0"/>
        <w:spacing w:line="300" w:lineRule="exact"/>
        <w:rPr>
          <w:rFonts w:ascii="Arial" w:hAnsi="Arial" w:eastAsia="微软雅黑" w:cs="Arial"/>
          <w:b/>
          <w:bCs/>
          <w:color w:val="0D0D0D"/>
          <w:sz w:val="20"/>
          <w:szCs w:val="21"/>
        </w:rPr>
      </w:pPr>
      <w:r>
        <w:rPr>
          <w:rFonts w:hint="eastAsia" w:ascii="Arial" w:hAnsi="微软雅黑" w:eastAsia="微软雅黑" w:cs="Arial"/>
          <w:b/>
          <w:bCs/>
          <w:color w:val="0D0D0D"/>
          <w:sz w:val="20"/>
          <w:szCs w:val="21"/>
        </w:rPr>
        <w:t>七</w:t>
      </w:r>
      <w:r>
        <w:rPr>
          <w:rFonts w:ascii="Arial" w:hAnsi="微软雅黑" w:eastAsia="微软雅黑" w:cs="Arial"/>
          <w:b/>
          <w:bCs/>
          <w:color w:val="0D0D0D"/>
          <w:sz w:val="20"/>
          <w:szCs w:val="21"/>
        </w:rPr>
        <w:t>、沙盘推演安排</w:t>
      </w:r>
    </w:p>
    <w:p>
      <w:pPr>
        <w:adjustRightInd w:val="0"/>
        <w:snapToGrid w:val="0"/>
        <w:spacing w:line="300" w:lineRule="exact"/>
        <w:rPr>
          <w:rFonts w:ascii="Arial" w:hAnsi="Arial" w:eastAsia="微软雅黑" w:cs="Arial"/>
          <w:b/>
          <w:bCs/>
          <w:color w:val="0D0D0D"/>
          <w:sz w:val="20"/>
          <w:szCs w:val="21"/>
        </w:rPr>
      </w:pPr>
      <w:r>
        <w:rPr>
          <w:rFonts w:ascii="Arial" w:hAnsi="微软雅黑" w:eastAsia="微软雅黑" w:cs="Arial"/>
          <w:b/>
          <w:bCs/>
          <w:color w:val="0D0D0D"/>
          <w:sz w:val="20"/>
          <w:szCs w:val="21"/>
        </w:rPr>
        <w:t>预研一阶段（调研）</w:t>
      </w:r>
    </w:p>
    <w:p>
      <w:pPr>
        <w:pStyle w:val="5"/>
        <w:numPr>
          <w:ilvl w:val="0"/>
          <w:numId w:val="5"/>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比较各个小组的选择对商业价值，预算，时间的影响。</w:t>
      </w:r>
    </w:p>
    <w:p>
      <w:pPr>
        <w:pStyle w:val="5"/>
        <w:numPr>
          <w:ilvl w:val="0"/>
          <w:numId w:val="5"/>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分析各个事件的处理方式对各个利益相关方的信心和参与度的影响。</w:t>
      </w:r>
    </w:p>
    <w:p>
      <w:pPr>
        <w:pStyle w:val="5"/>
        <w:numPr>
          <w:ilvl w:val="0"/>
          <w:numId w:val="5"/>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工具：相关方识别器。</w:t>
      </w:r>
    </w:p>
    <w:p>
      <w:pPr>
        <w:pStyle w:val="5"/>
        <w:numPr>
          <w:ilvl w:val="0"/>
          <w:numId w:val="5"/>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工具：制定项目</w:t>
      </w:r>
      <w:r>
        <w:rPr>
          <w:rFonts w:ascii="Arial" w:hAnsi="Arial" w:eastAsia="微软雅黑" w:cs="Arial"/>
          <w:bCs/>
          <w:color w:val="0D0D0D"/>
          <w:sz w:val="20"/>
          <w:szCs w:val="21"/>
        </w:rPr>
        <w:t>WBS</w:t>
      </w:r>
      <w:r>
        <w:rPr>
          <w:rFonts w:ascii="Arial" w:hAnsi="微软雅黑" w:eastAsia="微软雅黑" w:cs="Arial"/>
          <w:bCs/>
          <w:color w:val="0D0D0D"/>
          <w:sz w:val="20"/>
          <w:szCs w:val="21"/>
        </w:rPr>
        <w:t>。</w:t>
      </w:r>
    </w:p>
    <w:p>
      <w:pPr>
        <w:adjustRightInd w:val="0"/>
        <w:snapToGrid w:val="0"/>
        <w:spacing w:line="300" w:lineRule="exact"/>
        <w:rPr>
          <w:rFonts w:ascii="Arial" w:hAnsi="Arial" w:eastAsia="微软雅黑" w:cs="Arial"/>
          <w:b/>
          <w:bCs/>
          <w:color w:val="0D0D0D"/>
          <w:sz w:val="20"/>
          <w:szCs w:val="21"/>
        </w:rPr>
      </w:pPr>
      <w:r>
        <w:rPr>
          <w:rFonts w:ascii="Arial" w:hAnsi="微软雅黑" w:eastAsia="微软雅黑" w:cs="Arial"/>
          <w:b/>
          <w:bCs/>
          <w:color w:val="0D0D0D"/>
          <w:sz w:val="20"/>
          <w:szCs w:val="21"/>
        </w:rPr>
        <w:t>预研二阶段（可行性分析和项目边界）</w:t>
      </w:r>
    </w:p>
    <w:p>
      <w:pPr>
        <w:pStyle w:val="5"/>
        <w:numPr>
          <w:ilvl w:val="0"/>
          <w:numId w:val="5"/>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寻找各个小组的项目短板因素。</w:t>
      </w:r>
    </w:p>
    <w:p>
      <w:pPr>
        <w:pStyle w:val="5"/>
        <w:numPr>
          <w:ilvl w:val="0"/>
          <w:numId w:val="5"/>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对本阶段的所有事件决定如何处理。</w:t>
      </w:r>
    </w:p>
    <w:p>
      <w:pPr>
        <w:pStyle w:val="5"/>
        <w:numPr>
          <w:ilvl w:val="0"/>
          <w:numId w:val="5"/>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分析总结各事件的处理对各个利益相关方的信心和发挥程度的影响。</w:t>
      </w:r>
    </w:p>
    <w:p>
      <w:pPr>
        <w:pStyle w:val="5"/>
        <w:numPr>
          <w:ilvl w:val="0"/>
          <w:numId w:val="5"/>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工具：甘特图的制定和应用。</w:t>
      </w:r>
    </w:p>
    <w:p>
      <w:pPr>
        <w:adjustRightInd w:val="0"/>
        <w:snapToGrid w:val="0"/>
        <w:spacing w:line="300" w:lineRule="exact"/>
        <w:rPr>
          <w:rFonts w:ascii="Arial" w:hAnsi="Arial" w:eastAsia="微软雅黑" w:cs="Arial"/>
          <w:b/>
          <w:bCs/>
          <w:color w:val="0D0D0D"/>
          <w:sz w:val="20"/>
          <w:szCs w:val="21"/>
        </w:rPr>
      </w:pPr>
      <w:r>
        <w:rPr>
          <w:rFonts w:ascii="Arial" w:hAnsi="微软雅黑" w:eastAsia="微软雅黑" w:cs="Arial"/>
          <w:b/>
          <w:bCs/>
          <w:color w:val="0D0D0D"/>
          <w:sz w:val="20"/>
          <w:szCs w:val="21"/>
        </w:rPr>
        <w:t>设计一阶段（框架设计）</w:t>
      </w:r>
    </w:p>
    <w:p>
      <w:pPr>
        <w:pStyle w:val="5"/>
        <w:numPr>
          <w:ilvl w:val="0"/>
          <w:numId w:val="5"/>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处理规范性和灵活性的冲突。</w:t>
      </w:r>
    </w:p>
    <w:p>
      <w:pPr>
        <w:pStyle w:val="5"/>
        <w:numPr>
          <w:ilvl w:val="0"/>
          <w:numId w:val="5"/>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如何应对来自组织的要求。</w:t>
      </w:r>
    </w:p>
    <w:p>
      <w:pPr>
        <w:adjustRightInd w:val="0"/>
        <w:snapToGrid w:val="0"/>
        <w:spacing w:line="300" w:lineRule="exact"/>
        <w:rPr>
          <w:rFonts w:ascii="Arial" w:hAnsi="Arial" w:eastAsia="微软雅黑" w:cs="Arial"/>
          <w:b/>
          <w:bCs/>
          <w:color w:val="0D0D0D"/>
          <w:sz w:val="20"/>
          <w:szCs w:val="21"/>
        </w:rPr>
      </w:pPr>
      <w:r>
        <w:rPr>
          <w:rFonts w:ascii="Arial" w:hAnsi="微软雅黑" w:eastAsia="微软雅黑" w:cs="Arial"/>
          <w:b/>
          <w:bCs/>
          <w:color w:val="0D0D0D"/>
          <w:sz w:val="20"/>
          <w:szCs w:val="21"/>
        </w:rPr>
        <w:t>设计二阶段（模块设计）</w:t>
      </w:r>
    </w:p>
    <w:p>
      <w:pPr>
        <w:pStyle w:val="5"/>
        <w:numPr>
          <w:ilvl w:val="0"/>
          <w:numId w:val="5"/>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新机会对项目边界的影响。</w:t>
      </w:r>
    </w:p>
    <w:p>
      <w:pPr>
        <w:pStyle w:val="5"/>
        <w:numPr>
          <w:ilvl w:val="0"/>
          <w:numId w:val="5"/>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项目成员的日常工作和项目工作的冲突。</w:t>
      </w:r>
    </w:p>
    <w:p>
      <w:pPr>
        <w:pStyle w:val="5"/>
        <w:numPr>
          <w:ilvl w:val="0"/>
          <w:numId w:val="5"/>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个别领导新的看法以及应对措施。</w:t>
      </w:r>
    </w:p>
    <w:p>
      <w:pPr>
        <w:pStyle w:val="5"/>
        <w:numPr>
          <w:ilvl w:val="0"/>
          <w:numId w:val="5"/>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工具：进度管理中的关键链。</w:t>
      </w:r>
    </w:p>
    <w:p>
      <w:pPr>
        <w:adjustRightInd w:val="0"/>
        <w:snapToGrid w:val="0"/>
        <w:spacing w:line="300" w:lineRule="exact"/>
        <w:rPr>
          <w:rFonts w:ascii="Arial" w:hAnsi="Arial" w:eastAsia="微软雅黑" w:cs="Arial"/>
          <w:b/>
          <w:bCs/>
          <w:color w:val="0D0D0D"/>
          <w:sz w:val="20"/>
          <w:szCs w:val="21"/>
        </w:rPr>
      </w:pPr>
      <w:r>
        <w:rPr>
          <w:rFonts w:ascii="Arial" w:hAnsi="微软雅黑" w:eastAsia="微软雅黑" w:cs="Arial"/>
          <w:b/>
          <w:bCs/>
          <w:color w:val="0D0D0D"/>
          <w:sz w:val="20"/>
          <w:szCs w:val="21"/>
        </w:rPr>
        <w:t>开发阶段</w:t>
      </w:r>
      <w:r>
        <w:rPr>
          <w:rFonts w:ascii="Arial" w:hAnsi="Arial" w:eastAsia="微软雅黑" w:cs="Arial"/>
          <w:b/>
          <w:bCs/>
          <w:color w:val="0D0D0D"/>
          <w:sz w:val="20"/>
          <w:szCs w:val="21"/>
        </w:rPr>
        <w:t xml:space="preserve"> </w:t>
      </w:r>
      <w:r>
        <w:rPr>
          <w:rFonts w:ascii="Arial" w:hAnsi="微软雅黑" w:eastAsia="微软雅黑" w:cs="Arial"/>
          <w:b/>
          <w:bCs/>
          <w:color w:val="0D0D0D"/>
          <w:sz w:val="20"/>
          <w:szCs w:val="21"/>
        </w:rPr>
        <w:t>（变成现实）</w:t>
      </w:r>
    </w:p>
    <w:p>
      <w:pPr>
        <w:pStyle w:val="5"/>
        <w:numPr>
          <w:ilvl w:val="0"/>
          <w:numId w:val="5"/>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组织和项目的兼容问题。</w:t>
      </w:r>
    </w:p>
    <w:p>
      <w:pPr>
        <w:pStyle w:val="5"/>
        <w:numPr>
          <w:ilvl w:val="0"/>
          <w:numId w:val="5"/>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如何应对工作量的大幅增加。</w:t>
      </w:r>
    </w:p>
    <w:p>
      <w:pPr>
        <w:adjustRightInd w:val="0"/>
        <w:snapToGrid w:val="0"/>
        <w:spacing w:line="300" w:lineRule="exact"/>
        <w:rPr>
          <w:rFonts w:ascii="Arial" w:hAnsi="Arial" w:eastAsia="微软雅黑" w:cs="Arial"/>
          <w:b/>
          <w:bCs/>
          <w:color w:val="0D0D0D"/>
          <w:sz w:val="20"/>
          <w:szCs w:val="21"/>
        </w:rPr>
      </w:pPr>
      <w:r>
        <w:rPr>
          <w:rFonts w:ascii="Arial" w:hAnsi="微软雅黑" w:eastAsia="微软雅黑" w:cs="Arial"/>
          <w:b/>
          <w:bCs/>
          <w:color w:val="0D0D0D"/>
          <w:sz w:val="20"/>
          <w:szCs w:val="21"/>
        </w:rPr>
        <w:t>实施阶段（交付和推动）</w:t>
      </w:r>
    </w:p>
    <w:p>
      <w:pPr>
        <w:pStyle w:val="5"/>
        <w:numPr>
          <w:ilvl w:val="0"/>
          <w:numId w:val="5"/>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组织反映迟缓。</w:t>
      </w:r>
    </w:p>
    <w:p>
      <w:pPr>
        <w:pStyle w:val="5"/>
        <w:numPr>
          <w:ilvl w:val="0"/>
          <w:numId w:val="5"/>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组织能力不足。</w:t>
      </w:r>
    </w:p>
    <w:p>
      <w:pPr>
        <w:pStyle w:val="5"/>
        <w:numPr>
          <w:ilvl w:val="0"/>
          <w:numId w:val="5"/>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领导如何看到价值。</w:t>
      </w:r>
    </w:p>
    <w:p>
      <w:pPr>
        <w:adjustRightInd w:val="0"/>
        <w:snapToGrid w:val="0"/>
        <w:spacing w:line="300" w:lineRule="exact"/>
        <w:rPr>
          <w:rFonts w:ascii="Arial" w:hAnsi="Arial" w:eastAsia="微软雅黑" w:cs="Arial"/>
          <w:b/>
          <w:bCs/>
          <w:color w:val="0D0D0D"/>
          <w:sz w:val="20"/>
          <w:szCs w:val="21"/>
        </w:rPr>
      </w:pPr>
      <w:r>
        <w:rPr>
          <w:rFonts w:ascii="Arial" w:hAnsi="微软雅黑" w:eastAsia="微软雅黑" w:cs="Arial"/>
          <w:b/>
          <w:bCs/>
          <w:color w:val="0D0D0D"/>
          <w:sz w:val="20"/>
          <w:szCs w:val="21"/>
        </w:rPr>
        <w:t>案例分析及复盘</w:t>
      </w:r>
    </w:p>
    <w:p>
      <w:pPr>
        <w:pStyle w:val="5"/>
        <w:numPr>
          <w:ilvl w:val="0"/>
          <w:numId w:val="5"/>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分析模拟结果并对各阶段失败事件进行分析。</w:t>
      </w:r>
    </w:p>
    <w:p>
      <w:pPr>
        <w:pStyle w:val="5"/>
        <w:numPr>
          <w:ilvl w:val="0"/>
          <w:numId w:val="5"/>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各个阶段的输出和关键事项重新总结。</w:t>
      </w:r>
    </w:p>
    <w:p>
      <w:pPr>
        <w:pStyle w:val="5"/>
        <w:numPr>
          <w:ilvl w:val="0"/>
          <w:numId w:val="5"/>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分析三类利益相关方在不同阶段分别有什么需求。</w:t>
      </w:r>
    </w:p>
    <w:p>
      <w:pPr>
        <w:pStyle w:val="5"/>
        <w:numPr>
          <w:ilvl w:val="0"/>
          <w:numId w:val="5"/>
        </w:numPr>
        <w:adjustRightInd w:val="0"/>
        <w:snapToGrid w:val="0"/>
        <w:spacing w:line="300" w:lineRule="exact"/>
        <w:ind w:firstLineChars="0"/>
        <w:rPr>
          <w:rFonts w:ascii="Arial" w:hAnsi="Arial" w:eastAsia="微软雅黑" w:cs="Arial"/>
          <w:bCs/>
          <w:color w:val="0D0D0D"/>
          <w:sz w:val="20"/>
          <w:szCs w:val="21"/>
        </w:rPr>
      </w:pPr>
      <w:r>
        <w:rPr>
          <w:rFonts w:ascii="Arial" w:hAnsi="微软雅黑" w:eastAsia="微软雅黑" w:cs="Arial"/>
          <w:bCs/>
          <w:color w:val="0D0D0D"/>
          <w:sz w:val="20"/>
          <w:szCs w:val="21"/>
        </w:rPr>
        <w:t>针对各个阶段的各个利益相关方进行总结：项目经理的应对策略。</w:t>
      </w:r>
    </w:p>
    <w:p>
      <w:pPr>
        <w:pStyle w:val="5"/>
        <w:widowControl/>
        <w:numPr>
          <w:ilvl w:val="0"/>
          <w:numId w:val="5"/>
        </w:numPr>
        <w:adjustRightInd w:val="0"/>
        <w:snapToGrid w:val="0"/>
        <w:spacing w:line="300" w:lineRule="exact"/>
        <w:ind w:firstLineChars="0"/>
        <w:jc w:val="left"/>
        <w:rPr>
          <w:rFonts w:ascii="Arial" w:hAnsi="Arial" w:eastAsia="微软雅黑" w:cs="Arial"/>
          <w:sz w:val="20"/>
        </w:rPr>
      </w:pPr>
      <w:r>
        <w:rPr>
          <w:rFonts w:ascii="Arial" w:hAnsi="微软雅黑" w:eastAsia="微软雅黑" w:cs="Arial"/>
          <w:bCs/>
          <w:color w:val="0D0D0D"/>
          <w:sz w:val="20"/>
          <w:szCs w:val="21"/>
        </w:rPr>
        <w:t>如何让时间和成本被有效的保证？</w:t>
      </w:r>
    </w:p>
    <w:p>
      <w:pPr>
        <w:pStyle w:val="5"/>
        <w:widowControl/>
        <w:adjustRightInd w:val="0"/>
        <w:snapToGrid w:val="0"/>
        <w:spacing w:line="300" w:lineRule="exact"/>
        <w:ind w:left="420" w:firstLine="0" w:firstLineChars="0"/>
        <w:jc w:val="left"/>
        <w:rPr>
          <w:rFonts w:ascii="Arial" w:hAnsi="Arial" w:eastAsia="微软雅黑" w:cs="Arial"/>
          <w:sz w:val="20"/>
        </w:rPr>
      </w:pPr>
    </w:p>
    <w:p>
      <w:pPr>
        <w:adjustRightInd w:val="0"/>
        <w:snapToGrid w:val="0"/>
        <w:spacing w:line="300" w:lineRule="exact"/>
        <w:rPr>
          <w:rFonts w:ascii="Arial" w:hAnsi="Arial" w:eastAsia="微软雅黑" w:cs="Arial"/>
          <w:b/>
          <w:sz w:val="20"/>
          <w:szCs w:val="21"/>
        </w:rPr>
      </w:pPr>
      <w:r>
        <w:rPr>
          <w:rFonts w:hint="eastAsia" w:ascii="Arial" w:hAnsi="微软雅黑" w:eastAsia="微软雅黑" w:cs="Arial"/>
          <w:b/>
          <w:bCs/>
          <w:color w:val="0D0D0D"/>
          <w:sz w:val="20"/>
          <w:szCs w:val="21"/>
        </w:rPr>
        <w:t>八、</w:t>
      </w:r>
      <w:r>
        <w:rPr>
          <w:rFonts w:ascii="Arial" w:hAnsi="微软雅黑" w:eastAsia="微软雅黑" w:cs="Arial"/>
          <w:b/>
          <w:bCs/>
          <w:color w:val="0D0D0D"/>
          <w:sz w:val="20"/>
          <w:szCs w:val="21"/>
        </w:rPr>
        <w:t>我们</w:t>
      </w:r>
      <w:r>
        <w:rPr>
          <w:rFonts w:ascii="Arial" w:hAnsi="微软雅黑" w:eastAsia="微软雅黑" w:cs="Arial"/>
          <w:b/>
          <w:sz w:val="20"/>
          <w:szCs w:val="21"/>
        </w:rPr>
        <w:t>的目标：</w:t>
      </w:r>
    </w:p>
    <w:p>
      <w:pPr>
        <w:widowControl/>
        <w:adjustRightInd w:val="0"/>
        <w:snapToGrid w:val="0"/>
        <w:spacing w:line="300" w:lineRule="exact"/>
        <w:ind w:firstLine="420"/>
        <w:jc w:val="left"/>
        <w:rPr>
          <w:rFonts w:ascii="Arial" w:hAnsi="Arial" w:eastAsia="微软雅黑" w:cs="Arial"/>
          <w:spacing w:val="8"/>
          <w:sz w:val="20"/>
          <w:szCs w:val="21"/>
        </w:rPr>
      </w:pPr>
      <w:r>
        <w:rPr>
          <w:rFonts w:ascii="Arial" w:hAnsi="微软雅黑" w:eastAsia="微软雅黑" w:cs="Arial"/>
          <w:spacing w:val="8"/>
          <w:sz w:val="20"/>
          <w:szCs w:val="21"/>
        </w:rPr>
        <w:t>利用经典案例引导培训，让员工在分析讨论的过程中实现领悟，真正了解项目管理的十大知识体系在现实中的应用，特别是范围管理、进度管理、质量管理和成本管理的应对方法，并特别强调了相关方管理在中国项目管理环境中的重要作用。</w:t>
      </w:r>
    </w:p>
    <w:p>
      <w:pPr>
        <w:widowControl/>
        <w:adjustRightInd w:val="0"/>
        <w:snapToGrid w:val="0"/>
        <w:spacing w:line="300" w:lineRule="exact"/>
        <w:ind w:firstLine="420"/>
        <w:jc w:val="left"/>
        <w:rPr>
          <w:rFonts w:ascii="Arial" w:hAnsi="Arial" w:eastAsia="微软雅黑" w:cs="Arial"/>
          <w:spacing w:val="8"/>
          <w:sz w:val="20"/>
          <w:szCs w:val="21"/>
        </w:rPr>
      </w:pPr>
      <w:r>
        <w:rPr>
          <w:rFonts w:ascii="Arial" w:hAnsi="微软雅黑" w:eastAsia="微软雅黑" w:cs="Arial"/>
          <w:spacing w:val="8"/>
          <w:sz w:val="20"/>
          <w:szCs w:val="21"/>
        </w:rPr>
        <w:drawing>
          <wp:anchor distT="0" distB="0" distL="114300" distR="114300" simplePos="0" relativeHeight="251670528" behindDoc="0" locked="0" layoutInCell="1" allowOverlap="1">
            <wp:simplePos x="0" y="0"/>
            <wp:positionH relativeFrom="column">
              <wp:posOffset>933450</wp:posOffset>
            </wp:positionH>
            <wp:positionV relativeFrom="paragraph">
              <wp:posOffset>655320</wp:posOffset>
            </wp:positionV>
            <wp:extent cx="3432810" cy="1287780"/>
            <wp:effectExtent l="0" t="0" r="15240" b="7620"/>
            <wp:wrapNone/>
            <wp:docPr id="3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
                    <pic:cNvPicPr>
                      <a:picLocks noChangeAspect="1"/>
                    </pic:cNvPicPr>
                  </pic:nvPicPr>
                  <pic:blipFill>
                    <a:blip r:embed="rId4" cstate="email"/>
                    <a:stretch>
                      <a:fillRect/>
                    </a:stretch>
                  </pic:blipFill>
                  <pic:spPr>
                    <a:xfrm>
                      <a:off x="0" y="0"/>
                      <a:ext cx="3432810" cy="1287780"/>
                    </a:xfrm>
                    <a:prstGeom prst="rect">
                      <a:avLst/>
                    </a:prstGeom>
                  </pic:spPr>
                </pic:pic>
              </a:graphicData>
            </a:graphic>
          </wp:anchor>
        </w:drawing>
      </w:r>
      <w:r>
        <w:rPr>
          <w:rFonts w:ascii="Arial" w:hAnsi="微软雅黑" w:eastAsia="微软雅黑" w:cs="Arial"/>
          <w:spacing w:val="8"/>
          <w:sz w:val="20"/>
          <w:szCs w:val="21"/>
        </w:rPr>
        <w:t>案例分析能够帮助员工将系统知识体系从感性的接触升华到理性的接受，同时推演过程中也能够充分展现每个人的管理和性格特质，有助于各位项目经理和项目相关方能够更清晰地整合自身在项目中的定位和项目流程的把控，从而不断提升效率，推动项目走向成功。</w:t>
      </w:r>
    </w:p>
    <w:p>
      <w:pPr>
        <w:adjustRightInd w:val="0"/>
        <w:snapToGrid w:val="0"/>
        <w:spacing w:line="300" w:lineRule="exact"/>
        <w:rPr>
          <w:rFonts w:ascii="Arial" w:hAnsi="Arial" w:eastAsia="微软雅黑" w:cs="Arial"/>
          <w:sz w:val="20"/>
        </w:rPr>
      </w:pPr>
    </w:p>
    <w:p>
      <w:pPr>
        <w:widowControl/>
        <w:spacing w:line="300" w:lineRule="exact"/>
        <w:jc w:val="center"/>
        <w:rPr>
          <w:rFonts w:ascii="Arial" w:hAnsi="Arial" w:eastAsia="微软雅黑" w:cs="Arial"/>
          <w:sz w:val="20"/>
        </w:rPr>
      </w:pPr>
    </w:p>
    <w:p>
      <w:pPr>
        <w:widowControl/>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725B0"/>
    <w:multiLevelType w:val="multilevel"/>
    <w:tmpl w:val="098725B0"/>
    <w:lvl w:ilvl="0" w:tentative="0">
      <w:start w:val="1"/>
      <w:numFmt w:val="bullet"/>
      <w:lvlText w:val=""/>
      <w:lvlJc w:val="left"/>
      <w:pPr>
        <w:ind w:left="420" w:hanging="420"/>
      </w:pPr>
      <w:rPr>
        <w:rFonts w:hint="default" w:ascii="Wingdings" w:hAnsi="Wingdings"/>
      </w:rPr>
    </w:lvl>
    <w:lvl w:ilvl="1" w:tentative="0">
      <w:start w:val="0"/>
      <w:numFmt w:val="bullet"/>
      <w:lvlText w:val="◆"/>
      <w:lvlJc w:val="left"/>
      <w:pPr>
        <w:ind w:left="780" w:hanging="360"/>
      </w:pPr>
      <w:rPr>
        <w:rFonts w:hint="eastAsia" w:ascii="微软雅黑" w:hAnsi="微软雅黑" w:eastAsia="微软雅黑" w:cs="Times New Roman"/>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8BF0C28"/>
    <w:multiLevelType w:val="multilevel"/>
    <w:tmpl w:val="18BF0C2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37934A15"/>
    <w:multiLevelType w:val="multilevel"/>
    <w:tmpl w:val="37934A1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42003FCC"/>
    <w:multiLevelType w:val="multilevel"/>
    <w:tmpl w:val="42003FCC"/>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72FC7395"/>
    <w:multiLevelType w:val="multilevel"/>
    <w:tmpl w:val="72FC7395"/>
    <w:lvl w:ilvl="0" w:tentative="0">
      <w:start w:val="1"/>
      <w:numFmt w:val="bullet"/>
      <w:lvlText w:val=""/>
      <w:lvlJc w:val="left"/>
      <w:pPr>
        <w:ind w:left="420" w:hanging="420"/>
      </w:pPr>
      <w:rPr>
        <w:rFonts w:hint="default" w:ascii="Wingdings" w:hAnsi="Wingdings"/>
      </w:rPr>
    </w:lvl>
    <w:lvl w:ilvl="1" w:tentative="0">
      <w:start w:val="0"/>
      <w:numFmt w:val="bullet"/>
      <w:lvlText w:val="◆"/>
      <w:lvlJc w:val="left"/>
      <w:pPr>
        <w:ind w:left="780" w:hanging="360"/>
      </w:pPr>
      <w:rPr>
        <w:rFonts w:hint="eastAsia" w:ascii="微软雅黑" w:hAnsi="微软雅黑" w:eastAsia="微软雅黑" w:cs="Times New Roman"/>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843B42"/>
    <w:rsid w:val="31843B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nhideWhenUsed/>
    <w:uiPriority w:val="99"/>
    <w:rPr>
      <w:color w:val="0563C1" w:themeColor="hyperlink"/>
      <w:u w:val="single"/>
      <w14:textFill>
        <w14:solidFill>
          <w14:schemeClr w14:val="hlink"/>
        </w14:solidFill>
      </w14:textFill>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2021-03-20T03:58:00Z</dcterms:created>
  <dc:creator>未妨惆怅是清狂</dc:creator>
  <cp:lastModifiedBy>未妨惆怅是清狂</cp:lastModifiedBy>
  <dcterms:modified xsi:type="dcterms:W3CDTF">2021-03-20T03:58:20Z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