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80" w:lineRule="auto"/>
        <w:jc w:val="center"/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t>中美贸易战的理论分析与实战解读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时长：2天。可根据客户要求调整课纲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培训目标：</w:t>
      </w:r>
      <w:r>
        <w:rPr>
          <w:rFonts w:hint="eastAsia" w:ascii="宋体" w:hAnsi="宋体"/>
          <w:sz w:val="24"/>
          <w:lang w:val="en-US" w:eastAsia="zh-CN"/>
        </w:rPr>
        <w:t>解读贸易战的理论基础，解读相关政策，剖析应对策略，让学员清楚认识中美贸易战背景、成因、领域、影响与前景展望，才能正确判断和看待中美贸易战及其影响，进而判断企业/行业在未来如何抉择，及时作出合理应对。讲座“有趣、有理、有用”，图文并茂，理论与实际相结合，学员可以在知其所以然的基础上，进而知道未来的必然，与学员的业务实践结合起来加以分析和运用，更好地助推工作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时长：2天。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FF"/>
          <w:sz w:val="24"/>
          <w:lang w:val="en-US" w:eastAsia="zh-CN"/>
        </w:rPr>
      </w:pPr>
      <w:r>
        <w:rPr>
          <w:rFonts w:hint="eastAsia" w:ascii="宋体" w:hAnsi="宋体"/>
          <w:color w:val="0000FF"/>
          <w:sz w:val="24"/>
          <w:lang w:val="en-US" w:eastAsia="zh-CN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>
      <w:pPr>
        <w:pStyle w:val="4"/>
        <w:spacing w:before="0" w:beforeAutospacing="0" w:after="0" w:afterAutospacing="0" w:line="480" w:lineRule="auto"/>
        <w:jc w:val="left"/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</w:pPr>
    </w:p>
    <w:p>
      <w:pPr>
        <w:pStyle w:val="4"/>
        <w:spacing w:before="0" w:beforeAutospacing="0" w:after="0" w:afterAutospacing="0" w:line="480" w:lineRule="auto"/>
        <w:jc w:val="center"/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t>第一天</w:t>
      </w: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val="en-US" w:eastAsia="zh-CN"/>
        </w:rPr>
        <w:t xml:space="preserve">  </w:t>
      </w: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t>理论篇</w:t>
      </w:r>
    </w:p>
    <w:p>
      <w:pPr>
        <w:pStyle w:val="4"/>
        <w:spacing w:before="0" w:beforeAutospacing="0" w:after="0" w:afterAutospacing="0" w:line="480" w:lineRule="auto"/>
        <w:jc w:val="center"/>
        <w:rPr>
          <w:rFonts w:hint="eastAsia" w:eastAsia="宋体"/>
          <w:b/>
          <w:bCs/>
          <w:color w:val="FD740C"/>
          <w:sz w:val="32"/>
          <w:szCs w:val="32"/>
          <w:shd w:val="clear" w:color="auto" w:fill="auto"/>
          <w:lang w:eastAsia="zh-CN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</w:rPr>
        <w:t>中美贸易战的</w:t>
      </w: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t>理论基础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</w:p>
    <w:p>
      <w:pPr>
        <w:pStyle w:val="4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课程</w:t>
      </w:r>
      <w:r>
        <w:rPr>
          <w:rFonts w:hint="eastAsia"/>
          <w:color w:val="2D2D2D"/>
          <w:sz w:val="28"/>
          <w:szCs w:val="28"/>
        </w:rPr>
        <w:t>提纲：</w:t>
      </w: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第一模块  理论基础篇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1、市场经济原理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——自由竞争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——契约信用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——自由竞争市场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——不完全竞争市场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2、市场失灵与有效政府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——垄断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——外部性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——信息不对称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——公共物品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——无形之手与有形之手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——有效政府与有为政府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——政府是不是越大越好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3、为什么要进行国际贸易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——国际分工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——比较优势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——要素禀赋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——OIL理论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——中国不进口大豆全部自己生产可行吗？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4、国际贸易主要理论和政策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第二模块  理论进阶篇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1、自由还是保护：主要国际贸易理论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2、自由贸易一定是好的吗？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——鸦片战争：自由贸易的旗号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——为什么有些国家都喜欢“以邻为壑”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——为什么有些国家口头上主张自由贸易，行动上实行保护贸易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3、贸易保护一定是坏的吗？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——保护幼稚产业也是有期限的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——日本、韩国的产业保护政策是否成功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4、贸易壁垒：关税与非关税壁垒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——关税是否越高越好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——繁琐繁杂的非关税壁垒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——土耳其、印度才是对中国提出“双反”最多的国家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——欧洲国家为什么更多进口印度的茶叶而不是中国的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5、新型国际贸易思维：进出口平衡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——为什么举办首届中国国际进口博览会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6、国际投资是国际贸易的更高阶段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——中美双边投资协议为什么一直没有谈成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——日本的海外资产为什么这么多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7、跨国公司的前世今生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——阿里巴巴是中国公司吗？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——联想是美国公司吗？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8、引进来与走出去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——吸引外资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——资本输出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9、知识产权保护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——为什么中兴毫无还手之力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10、战后国际秩序重建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——主要国际组织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——联合国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——从GATT到WTO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——世界银行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——IMF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11、国际政治经济新秩序的重建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——秩序失衡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——现有国际规则与二战后几十年国际实力变化不适应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——特朗普与美国优先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——特朗普为什么要退那么多的群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——英国为什么脱欧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——意大利为什么一定要呆在欧盟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——中国：人类命运共同体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12、契约精神：国际贸易的基石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——《中英南京条约》道光皇帝看到条约条文了吗？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——《中英南京条约》第一条是什么内容？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第三模块  理论高阶篇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1、大国崛起：修昔底德陷阱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——为什么第二的挑战大多失败？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2、规则冲突与制定权争夺：世贸组织到TPP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——竞争中性：国企的地位与作用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3、博弈论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——囚徒困境与纳什均衡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——单次博弈与重复博弈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——小鸡快跑与以牙还牙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——集体的合理结果与个人的非理性选择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——决策树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4、文明的冲突与世界秩序的重建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——文明的冲突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——石油争夺与秩序重建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——出海口与航路争夺与秩序重建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——制空权与制海权争夺：为什么一战、二战的胜利者是英美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——贸易战的后续肯定是科技战和金融战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——科技争夺与秩序重建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——金融争夺与秩序重建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——美元霸权为什么是美国的命根子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5、从历史经验中寻求突破：历史上的贸易战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——海上马车夫的没落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——日不落帝国的崛起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——三角贸易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——波士顿倾茶事件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——鸦片战争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——美日贸易战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6、从中国文化中寻求突破：中国智慧在国际关系中的实践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——和合文化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——古人的智慧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——少用三十六计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7、在遵守国际惯例与规则中寻求突破：多研究多实践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——关于战狼思维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——选择性输入信息会造成更多问题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——多研究国际规则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……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8、知己知彼才能实现突破</w:t>
      </w:r>
      <w:bookmarkStart w:id="0" w:name="_GoBack"/>
      <w:bookmarkEnd w:id="0"/>
      <w:r>
        <w:rPr>
          <w:rFonts w:hint="eastAsia"/>
          <w:color w:val="2D2D2D"/>
          <w:sz w:val="28"/>
          <w:szCs w:val="28"/>
          <w:lang w:val="en-US" w:eastAsia="zh-CN"/>
        </w:rPr>
        <w:t>：美国的确定性与特朗普的不确定性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——美国的确定性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——特朗普：《交易的艺术》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4"/>
        <w:spacing w:before="0" w:beforeAutospacing="0" w:after="0" w:afterAutospacing="0" w:line="480" w:lineRule="auto"/>
        <w:jc w:val="center"/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</w:pPr>
    </w:p>
    <w:p>
      <w:pPr>
        <w:pStyle w:val="4"/>
        <w:spacing w:before="0" w:beforeAutospacing="0" w:after="0" w:afterAutospacing="0" w:line="480" w:lineRule="auto"/>
        <w:jc w:val="center"/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br w:type="page"/>
      </w:r>
    </w:p>
    <w:p>
      <w:pPr>
        <w:pStyle w:val="4"/>
        <w:spacing w:before="0" w:beforeAutospacing="0" w:after="0" w:afterAutospacing="0" w:line="480" w:lineRule="auto"/>
        <w:jc w:val="center"/>
        <w:rPr>
          <w:rFonts w:hint="eastAsia" w:eastAsia="宋体"/>
          <w:b/>
          <w:bCs/>
          <w:color w:val="FD740C"/>
          <w:sz w:val="32"/>
          <w:szCs w:val="32"/>
          <w:shd w:val="clear" w:color="auto" w:fill="auto"/>
          <w:lang w:val="en-US" w:eastAsia="zh-CN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eastAsia="zh-CN"/>
        </w:rPr>
        <w:t>第二天</w:t>
      </w:r>
      <w:r>
        <w:rPr>
          <w:rFonts w:hint="eastAsia"/>
          <w:b/>
          <w:bCs/>
          <w:color w:val="FD740C"/>
          <w:sz w:val="32"/>
          <w:szCs w:val="32"/>
          <w:shd w:val="clear" w:color="auto" w:fill="auto"/>
          <w:lang w:val="en-US" w:eastAsia="zh-CN"/>
        </w:rPr>
        <w:t xml:space="preserve">  实战篇</w:t>
      </w:r>
    </w:p>
    <w:p>
      <w:pPr>
        <w:pStyle w:val="4"/>
        <w:spacing w:before="0" w:beforeAutospacing="0" w:after="0" w:afterAutospacing="0" w:line="480" w:lineRule="auto"/>
        <w:jc w:val="center"/>
        <w:rPr>
          <w:b/>
          <w:bCs/>
          <w:color w:val="FD740C"/>
          <w:sz w:val="32"/>
          <w:szCs w:val="32"/>
          <w:shd w:val="clear" w:color="auto" w:fill="auto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</w:rPr>
        <w:t>中美贸易战的影响与我国金融业的应对</w:t>
      </w:r>
    </w:p>
    <w:p>
      <w:pPr>
        <w:pStyle w:val="4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>
      <w:pPr>
        <w:pStyle w:val="4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课程</w:t>
      </w:r>
      <w:r>
        <w:rPr>
          <w:rFonts w:hint="eastAsia"/>
          <w:color w:val="2D2D2D"/>
          <w:sz w:val="28"/>
          <w:szCs w:val="28"/>
        </w:rPr>
        <w:t>提纲：</w:t>
      </w: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第一模块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</w:rPr>
        <w:t>世界经济金融形势、中美金融周期异步与我国金融新周期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1、国际经济金融形势分析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2、中国经济形势分析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3、中国金融形势分析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</w:t>
      </w:r>
      <w:r>
        <w:rPr>
          <w:rFonts w:hint="eastAsia"/>
          <w:color w:val="2D2D2D"/>
          <w:sz w:val="28"/>
          <w:szCs w:val="28"/>
        </w:rPr>
        <w:t>中美金融周期异步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——</w:t>
      </w:r>
      <w:r>
        <w:rPr>
          <w:rFonts w:hint="eastAsia"/>
          <w:color w:val="2D2D2D"/>
          <w:sz w:val="28"/>
          <w:szCs w:val="28"/>
        </w:rPr>
        <w:t>我国金融新周期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——</w:t>
      </w:r>
      <w:r>
        <w:rPr>
          <w:rFonts w:hint="eastAsia"/>
          <w:color w:val="2D2D2D"/>
          <w:sz w:val="28"/>
          <w:szCs w:val="28"/>
        </w:rPr>
        <w:t>谨防“明斯基时刻”加速到来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第二模块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</w:rPr>
        <w:t>中美贸易战的成因与未来发展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1、中美贸易战的背景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2、中美贸易战的成因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3、中美贸易战的主要领域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4、中美贸易战的近期影响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5、中美贸易战的前景展望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第三模块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中美贸易战对我国的影响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1、宏观影响与微观影响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——宏观影响：对经济增长、物价稳定（通货膨胀）、充分就业、国际收支平衡的影响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——微观影响：对行业、企业和个人的影响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2、直接影响与间接影响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——直接影响：进出口、汇率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——间接影响：实体经济、金融、房地产、外贸、新能源、科技等方面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3、短期影响与长期影响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——短期：进出口、实体经济、金融、吸引外资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——长期：实体经济、金融、房地产、外贸、新能源、科技、军事、政治等方面的影响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4、中美贸易战对银行业的影响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——对银行客户的影响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——对银行业务的影响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——对银行业未来发展的影响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第四模块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经济预判：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我国经济政策走向预测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</w:t>
      </w:r>
      <w:r>
        <w:rPr>
          <w:rFonts w:hint="eastAsia"/>
          <w:color w:val="2D2D2D"/>
          <w:sz w:val="28"/>
          <w:szCs w:val="28"/>
          <w:lang w:eastAsia="zh-CN"/>
        </w:rPr>
        <w:t>中央经济工作会议精神和中央政治局会议精神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</w:t>
      </w:r>
      <w:r>
        <w:rPr>
          <w:rFonts w:hint="eastAsia"/>
          <w:color w:val="2D2D2D"/>
          <w:sz w:val="28"/>
          <w:szCs w:val="28"/>
          <w:lang w:eastAsia="zh-CN"/>
        </w:rPr>
        <w:t>国常会会议精神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3、中央财经工作领导委员会、中央金融安全领导小组和国务院金融稳定发展委员会会议精神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</w:t>
      </w:r>
      <w:r>
        <w:rPr>
          <w:rFonts w:hint="eastAsia"/>
          <w:color w:val="2D2D2D"/>
          <w:sz w:val="28"/>
          <w:szCs w:val="28"/>
        </w:rPr>
        <w:t>中美贸易战背景下我国货币、财政、税收、金融、房地产、汇率、新能源、科技、“中国制造2025”等政策走向预测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</w:t>
      </w:r>
      <w:r>
        <w:rPr>
          <w:rFonts w:hint="eastAsia"/>
          <w:color w:val="2D2D2D"/>
          <w:sz w:val="28"/>
          <w:szCs w:val="28"/>
          <w:lang w:eastAsia="zh-CN"/>
        </w:rPr>
        <w:t>政策的时滞和可能变化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第五模块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风险预测及预防：谨防现有金融风险与中美贸易战的叠加效应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1、现有金融风险：谨防“明斯基时刻”加速到来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2、现有金融风险与中美贸易战的叠加效应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3、银行业可能面临新一轮不良资产大暴露的局面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4、新形势下银行业转型势在必行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5、银行业务人员要严密防控合规风险、信贷风险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第六模块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危害及应对方法：</w:t>
      </w:r>
      <w:r>
        <w:rPr>
          <w:rFonts w:hint="eastAsia"/>
          <w:b/>
          <w:bCs/>
          <w:color w:val="0000FF"/>
          <w:sz w:val="28"/>
          <w:szCs w:val="28"/>
        </w:rPr>
        <w:t>中美贸易战对我国金融业开放的冲击与应对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1、中美贸易战对我国金融业开放的冲击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2、博鳌亚洲论坛后中国金融业开放提速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3、2018年我国金融开放措施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4、未来3年是中国金融企业发展的关键时刻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5、我国金融业开放的应对</w:t>
      </w: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</w:p>
    <w:p>
      <w:pPr>
        <w:pStyle w:val="4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  <w:lang w:eastAsia="zh-CN"/>
        </w:rPr>
        <w:t>第七模块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迎接未来：</w:t>
      </w:r>
      <w:r>
        <w:rPr>
          <w:rFonts w:hint="eastAsia"/>
          <w:b/>
          <w:bCs/>
          <w:color w:val="0000FF"/>
          <w:sz w:val="28"/>
          <w:szCs w:val="28"/>
        </w:rPr>
        <w:t>开放、合规与创新是我国金融业应对新风险、新危机、新挑战的必然选择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1、银行业面临的新挑战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2、中美贸易战加剧了挑战的强度</w:t>
      </w:r>
    </w:p>
    <w:p>
      <w:pPr>
        <w:pStyle w:val="4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</w:t>
      </w:r>
      <w:r>
        <w:rPr>
          <w:rFonts w:hint="eastAsia"/>
          <w:color w:val="2D2D2D"/>
          <w:sz w:val="28"/>
          <w:szCs w:val="28"/>
        </w:rPr>
        <w:t>开放、合规与创新是我国金融业应对新风险、新危机、新挑战的必然选择</w:t>
      </w:r>
    </w:p>
    <w:p>
      <w:pPr>
        <w:pStyle w:val="4"/>
        <w:spacing w:before="0" w:beforeAutospacing="0" w:after="0" w:afterAutospacing="0" w:line="480" w:lineRule="auto"/>
        <w:rPr>
          <w:rFonts w:hint="eastAsia" w:eastAsia="宋体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4、抓住机遇，发现商机</w:t>
      </w:r>
    </w:p>
    <w:p>
      <w:pPr>
        <w:spacing w:line="480" w:lineRule="auto"/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F41"/>
    <w:rsid w:val="00925F41"/>
    <w:rsid w:val="00AB697A"/>
    <w:rsid w:val="03EF0D64"/>
    <w:rsid w:val="047E19E8"/>
    <w:rsid w:val="04912AFB"/>
    <w:rsid w:val="05C977E5"/>
    <w:rsid w:val="0BFB444A"/>
    <w:rsid w:val="11301F11"/>
    <w:rsid w:val="113A7827"/>
    <w:rsid w:val="17C6446E"/>
    <w:rsid w:val="1AC01C19"/>
    <w:rsid w:val="1BBD71F5"/>
    <w:rsid w:val="1CD15199"/>
    <w:rsid w:val="1E926824"/>
    <w:rsid w:val="1FCD6E0A"/>
    <w:rsid w:val="2241277D"/>
    <w:rsid w:val="2A050C0D"/>
    <w:rsid w:val="2A3D3CCF"/>
    <w:rsid w:val="2F4E5291"/>
    <w:rsid w:val="355E3036"/>
    <w:rsid w:val="3949651C"/>
    <w:rsid w:val="3B561F18"/>
    <w:rsid w:val="3E5A7E78"/>
    <w:rsid w:val="42086DE2"/>
    <w:rsid w:val="43280E78"/>
    <w:rsid w:val="480B1370"/>
    <w:rsid w:val="4DB53B86"/>
    <w:rsid w:val="4EBB595A"/>
    <w:rsid w:val="57953B57"/>
    <w:rsid w:val="5C540309"/>
    <w:rsid w:val="5CC26A5B"/>
    <w:rsid w:val="5E5938A7"/>
    <w:rsid w:val="60BA7958"/>
    <w:rsid w:val="6141660C"/>
    <w:rsid w:val="679C505D"/>
    <w:rsid w:val="6A11072C"/>
    <w:rsid w:val="6E8123F0"/>
    <w:rsid w:val="6ECA1EA5"/>
    <w:rsid w:val="70563F9E"/>
    <w:rsid w:val="78B33865"/>
    <w:rsid w:val="79E6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4</TotalTime>
  <ScaleCrop>false</ScaleCrop>
  <LinksUpToDate>false</LinksUpToDate>
  <CharactersWithSpaces>252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2018-07-23T10:13:00Z</dcterms:created>
  <dc:creator>Wang</dc:creator>
  <cp:lastModifiedBy>Wang</cp:lastModifiedBy>
  <dcterms:modified xsi:type="dcterms:W3CDTF">2018-11-01T02:24:58Z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