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jc w:val="center"/>
        <w:rPr>
          <w:rFonts w:hint="eastAsia" w:ascii="宋体" w:hAnsi="宋体"/>
          <w:b/>
          <w:bCs/>
          <w:sz w:val="30"/>
          <w:szCs w:val="30"/>
          <w:lang w:val="en-US" w:eastAsia="zh-CN"/>
        </w:rPr>
      </w:pPr>
      <w:r>
        <w:rPr>
          <w:rFonts w:hint="eastAsia" w:ascii="宋体" w:hAnsi="宋体"/>
          <w:b/>
          <w:bCs/>
          <w:sz w:val="30"/>
          <w:szCs w:val="30"/>
          <w:lang w:val="en-US" w:eastAsia="zh-CN"/>
        </w:rPr>
        <w:t>十九大后宏观经济形势、房地产市场发展与房地产企业管理创新</w:t>
      </w:r>
    </w:p>
    <w:p>
      <w:pPr>
        <w:adjustRightInd w:val="0"/>
        <w:snapToGrid w:val="0"/>
        <w:spacing w:line="360" w:lineRule="auto"/>
        <w:jc w:val="center"/>
        <w:rPr>
          <w:rFonts w:hint="eastAsia" w:ascii="宋体" w:hAnsi="宋体"/>
          <w:b/>
          <w:bCs/>
          <w:sz w:val="24"/>
          <w:lang w:val="en-US" w:eastAsia="zh-CN"/>
        </w:rPr>
      </w:pPr>
      <w:r>
        <w:rPr>
          <w:rFonts w:hint="eastAsia" w:ascii="宋体" w:hAnsi="宋体"/>
          <w:b/>
          <w:bCs/>
          <w:sz w:val="24"/>
          <w:lang w:val="en-US" w:eastAsia="zh-CN"/>
        </w:rPr>
        <w:t>王传宝</w:t>
      </w:r>
    </w:p>
    <w:p>
      <w:pPr>
        <w:adjustRightInd w:val="0"/>
        <w:snapToGrid w:val="0"/>
        <w:spacing w:line="360" w:lineRule="auto"/>
        <w:ind w:firstLine="480" w:firstLineChars="200"/>
        <w:jc w:val="center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时长：0.5-1天。可根据客户要求，调整课纲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</w:p>
    <w:p>
      <w:pPr>
        <w:adjustRightInd w:val="0"/>
        <w:snapToGrid w:val="0"/>
        <w:spacing w:line="360" w:lineRule="auto"/>
        <w:jc w:val="both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b/>
          <w:bCs/>
          <w:sz w:val="24"/>
          <w:lang w:val="en-US" w:eastAsia="zh-CN"/>
        </w:rPr>
        <w:t>培训目标</w:t>
      </w:r>
      <w:r>
        <w:rPr>
          <w:rFonts w:hint="eastAsia" w:ascii="宋体" w:hAnsi="宋体"/>
          <w:sz w:val="24"/>
          <w:lang w:val="en-US" w:eastAsia="zh-CN"/>
        </w:rPr>
        <w:t>：结合学习十九大精神和全国两会精神，结合中国经济新旧动能转换，研读十九大后宏观经济形势、房地产市场发展趋势与房地产企业管理创新：包括战略创新、思维创新、工作创新等。帮助学员正确判断，提出相关对策，进而帮助山东某某地区/企业决策，更好地助推工作。讲座“有趣、有理、有料、</w:t>
      </w:r>
      <w:bookmarkStart w:id="0" w:name="_GoBack"/>
      <w:bookmarkEnd w:id="0"/>
      <w:r>
        <w:rPr>
          <w:rFonts w:hint="eastAsia" w:ascii="宋体" w:hAnsi="宋体"/>
          <w:sz w:val="24"/>
          <w:lang w:val="en-US" w:eastAsia="zh-CN"/>
        </w:rPr>
        <w:t>有用”，图文并茂，通俗易懂。理论与实际相结合，学员可以在知其所以然的基础上，进而知道未来的必然。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</w:p>
    <w:p>
      <w:pPr>
        <w:adjustRightInd w:val="0"/>
        <w:snapToGrid w:val="0"/>
        <w:spacing w:line="360" w:lineRule="auto"/>
        <w:ind w:firstLine="482" w:firstLineChars="200"/>
        <w:jc w:val="center"/>
        <w:rPr>
          <w:rFonts w:hint="eastAsia" w:ascii="宋体" w:hAnsi="宋体"/>
          <w:b/>
          <w:bCs/>
          <w:sz w:val="24"/>
          <w:lang w:val="en-US" w:eastAsia="zh-CN"/>
        </w:rPr>
      </w:pPr>
      <w:r>
        <w:rPr>
          <w:rFonts w:hint="eastAsia" w:ascii="宋体" w:hAnsi="宋体"/>
          <w:b/>
          <w:bCs/>
          <w:sz w:val="24"/>
          <w:lang w:val="en-US" w:eastAsia="zh-CN"/>
        </w:rPr>
        <w:t>讲座提纲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</w:p>
    <w:p>
      <w:pPr>
        <w:adjustRightInd w:val="0"/>
        <w:snapToGrid w:val="0"/>
        <w:spacing w:line="360" w:lineRule="auto"/>
        <w:ind w:firstLine="482" w:firstLineChars="200"/>
        <w:rPr>
          <w:rFonts w:hint="eastAsia" w:ascii="宋体" w:hAnsi="宋体"/>
          <w:b/>
          <w:bCs/>
          <w:color w:val="0000FF"/>
          <w:sz w:val="24"/>
          <w:lang w:val="en-US" w:eastAsia="zh-CN"/>
        </w:rPr>
      </w:pPr>
      <w:r>
        <w:rPr>
          <w:rFonts w:hint="eastAsia" w:ascii="宋体" w:hAnsi="宋体"/>
          <w:b/>
          <w:bCs/>
          <w:color w:val="0000FF"/>
          <w:sz w:val="24"/>
          <w:lang w:val="en-US" w:eastAsia="zh-CN"/>
        </w:rPr>
        <w:t>一、新时代：十九大报告新理念要求</w:t>
      </w:r>
      <w:r>
        <w:rPr>
          <w:rFonts w:hint="default" w:ascii="宋体" w:hAnsi="宋体"/>
          <w:b/>
          <w:bCs/>
          <w:color w:val="0000FF"/>
          <w:sz w:val="24"/>
          <w:lang w:val="en-US" w:eastAsia="zh-CN"/>
        </w:rPr>
        <w:t>高速增长要转向高品质增长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1、新时代：标注历史坐标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2、新使命：推进四个伟大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3、新思想：贡献中国智慧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4、新征程：做出历史贡献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5、十九大报告提出美好生活需要——房企要造好的房子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6、十九大报告提出培育新增长点、形成新动能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7、十九大提出，用“三大变革”推动中国经济“高质量发展”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——质量变革。未来是城市竞争，房子质量竞争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——2013年城市家庭户均1套房，中国房地产市场出现拐点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default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</w:t>
      </w:r>
      <w:r>
        <w:rPr>
          <w:rFonts w:hint="default" w:ascii="宋体" w:hAnsi="宋体"/>
          <w:sz w:val="24"/>
          <w:lang w:val="en-US" w:eastAsia="zh-CN"/>
        </w:rPr>
        <w:t>十九大</w:t>
      </w:r>
      <w:r>
        <w:rPr>
          <w:rFonts w:hint="eastAsia" w:ascii="宋体" w:hAnsi="宋体"/>
          <w:sz w:val="24"/>
          <w:lang w:val="en-US" w:eastAsia="zh-CN"/>
        </w:rPr>
        <w:t>提出</w:t>
      </w:r>
      <w:r>
        <w:rPr>
          <w:rFonts w:hint="default" w:ascii="宋体" w:hAnsi="宋体"/>
          <w:sz w:val="24"/>
          <w:lang w:val="en-US" w:eastAsia="zh-CN"/>
        </w:rPr>
        <w:t>，“高速增长要转向高品质增长”</w:t>
      </w:r>
      <w:r>
        <w:rPr>
          <w:rFonts w:hint="eastAsia" w:ascii="宋体" w:hAnsi="宋体"/>
          <w:sz w:val="24"/>
          <w:lang w:val="en-US" w:eastAsia="zh-CN"/>
        </w:rPr>
        <w:t>。</w:t>
      </w:r>
      <w:r>
        <w:rPr>
          <w:rFonts w:hint="default" w:ascii="宋体" w:hAnsi="宋体"/>
          <w:sz w:val="24"/>
          <w:lang w:val="en-US" w:eastAsia="zh-CN"/>
        </w:rPr>
        <w:t>提高</w:t>
      </w:r>
      <w:r>
        <w:rPr>
          <w:rFonts w:hint="eastAsia" w:ascii="宋体" w:hAnsi="宋体"/>
          <w:sz w:val="24"/>
          <w:lang w:val="en-US" w:eastAsia="zh-CN"/>
        </w:rPr>
        <w:t>住房</w:t>
      </w:r>
      <w:r>
        <w:rPr>
          <w:rFonts w:hint="default" w:ascii="宋体" w:hAnsi="宋体"/>
          <w:sz w:val="24"/>
          <w:lang w:val="en-US" w:eastAsia="zh-CN"/>
        </w:rPr>
        <w:t>品质</w:t>
      </w:r>
      <w:r>
        <w:rPr>
          <w:rFonts w:hint="eastAsia" w:ascii="宋体" w:hAnsi="宋体"/>
          <w:sz w:val="24"/>
          <w:lang w:val="en-US" w:eastAsia="zh-CN"/>
        </w:rPr>
        <w:t>是</w:t>
      </w:r>
      <w:r>
        <w:rPr>
          <w:rFonts w:hint="default" w:ascii="宋体" w:hAnsi="宋体"/>
          <w:sz w:val="24"/>
          <w:lang w:val="en-US" w:eastAsia="zh-CN"/>
        </w:rPr>
        <w:t>全国消费者的心声，要引起</w:t>
      </w:r>
      <w:r>
        <w:rPr>
          <w:rFonts w:hint="eastAsia" w:ascii="宋体" w:hAnsi="宋体"/>
          <w:sz w:val="24"/>
          <w:lang w:val="en-US" w:eastAsia="zh-CN"/>
        </w:rPr>
        <w:t>房地产企业</w:t>
      </w:r>
      <w:r>
        <w:rPr>
          <w:rFonts w:hint="default" w:ascii="宋体" w:hAnsi="宋体"/>
          <w:sz w:val="24"/>
          <w:lang w:val="en-US" w:eastAsia="zh-CN"/>
        </w:rPr>
        <w:t>的高度重视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8、十九大报告提出，坚持房子是用来住的，不是用来炒的定位。预示房地产市场将平稳发展。不会大起大落</w:t>
      </w:r>
    </w:p>
    <w:p>
      <w:pPr>
        <w:adjustRightInd w:val="0"/>
        <w:snapToGrid w:val="0"/>
        <w:spacing w:line="360" w:lineRule="auto"/>
        <w:ind w:firstLine="482" w:firstLineChars="200"/>
        <w:rPr>
          <w:rFonts w:hint="eastAsia" w:ascii="宋体" w:hAnsi="宋体"/>
          <w:b/>
          <w:bCs/>
          <w:color w:val="0000FF"/>
          <w:sz w:val="24"/>
          <w:lang w:val="en-US" w:eastAsia="zh-CN"/>
        </w:rPr>
      </w:pPr>
    </w:p>
    <w:p>
      <w:pPr>
        <w:adjustRightInd w:val="0"/>
        <w:snapToGrid w:val="0"/>
        <w:spacing w:line="360" w:lineRule="auto"/>
        <w:ind w:firstLine="482" w:firstLineChars="200"/>
        <w:rPr>
          <w:rFonts w:hint="eastAsia" w:ascii="宋体" w:hAnsi="宋体"/>
          <w:b/>
          <w:bCs/>
          <w:color w:val="0000FF"/>
          <w:sz w:val="24"/>
          <w:lang w:val="en-US" w:eastAsia="zh-CN"/>
        </w:rPr>
      </w:pPr>
      <w:r>
        <w:rPr>
          <w:rFonts w:hint="eastAsia" w:ascii="宋体" w:hAnsi="宋体"/>
          <w:b/>
          <w:bCs/>
          <w:color w:val="0000FF"/>
          <w:sz w:val="24"/>
          <w:lang w:val="en-US" w:eastAsia="zh-CN"/>
        </w:rPr>
        <w:t>二、新周期：世界经济新周期是中国房地产市场的大环境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1、世界随时可能发生的新金融危机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2、世界经济周期与新工业革命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——康德拉季耶夫周期与科技革命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——人生发财靠康波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3、美国加息搅动世界经济局势，提高房地产企业资金成本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4、美联储缩表：全球资金回流美国，影响房地产企业融资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5、特朗普贸易战，影响房地产投资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6、“灰犀牛”与全球大变局</w:t>
      </w:r>
    </w:p>
    <w:p>
      <w:pPr>
        <w:adjustRightInd w:val="0"/>
        <w:snapToGrid w:val="0"/>
        <w:spacing w:line="360" w:lineRule="auto"/>
        <w:ind w:firstLine="482" w:firstLineChars="200"/>
        <w:rPr>
          <w:rFonts w:hint="eastAsia" w:ascii="宋体" w:hAnsi="宋体"/>
          <w:b/>
          <w:bCs/>
          <w:color w:val="0000FF"/>
          <w:sz w:val="24"/>
          <w:lang w:val="en-US" w:eastAsia="zh-CN"/>
        </w:rPr>
      </w:pPr>
    </w:p>
    <w:p>
      <w:pPr>
        <w:adjustRightInd w:val="0"/>
        <w:snapToGrid w:val="0"/>
        <w:spacing w:line="360" w:lineRule="auto"/>
        <w:ind w:firstLine="482" w:firstLineChars="200"/>
        <w:rPr>
          <w:rFonts w:hint="eastAsia" w:ascii="宋体" w:hAnsi="宋体"/>
          <w:b/>
          <w:bCs/>
          <w:color w:val="0000FF"/>
          <w:sz w:val="24"/>
          <w:lang w:val="en-US" w:eastAsia="zh-CN"/>
        </w:rPr>
      </w:pPr>
      <w:r>
        <w:rPr>
          <w:rFonts w:hint="eastAsia" w:ascii="宋体" w:hAnsi="宋体"/>
          <w:b/>
          <w:bCs/>
          <w:color w:val="0000FF"/>
          <w:sz w:val="24"/>
          <w:lang w:val="en-US" w:eastAsia="zh-CN"/>
        </w:rPr>
        <w:t>三、新常态：中国经济新常态表明中国房地产市场进入新常态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1、经济新常态表明旧动能增长乏力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2、如何判断经济态势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——跟着领袖看态势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——根本在于素养和态度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——我国古典四大文学名著中的管理密码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b/>
          <w:bCs/>
          <w:sz w:val="24"/>
          <w:lang w:val="en-US" w:eastAsia="zh-CN"/>
        </w:rPr>
      </w:pPr>
      <w:r>
        <w:rPr>
          <w:rFonts w:hint="eastAsia" w:ascii="宋体" w:hAnsi="宋体"/>
          <w:b w:val="0"/>
          <w:bCs w:val="0"/>
          <w:sz w:val="24"/>
          <w:lang w:val="en-US" w:eastAsia="zh-CN"/>
        </w:rPr>
        <w:t>3、</w:t>
      </w:r>
      <w:r>
        <w:rPr>
          <w:rFonts w:hint="eastAsia" w:ascii="宋体" w:hAnsi="宋体"/>
          <w:sz w:val="24"/>
          <w:lang w:val="en-US" w:eastAsia="zh-CN"/>
        </w:rPr>
        <w:t>实体经济步履维艰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——经济L型走势：1978年-2018年中国GDP增长速度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——中国工业增长速度下滑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——资金脱实向虚：实体经济步履维艰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——外资出逃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——外储减少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——当前企业面临六大问题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——当前企业面临的五大危机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——企业倒闭潮的四种推动力量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4、企业在经济转型期生存发展策略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——清楚企业商业模式和构架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——紧紧抓住自己的特色优势不放松，避免盲目多元化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——重大投资谨慎决策，待探底后进行大投资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——竭力降低各种成本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——重视内外部合作，抱团求生存，分工协作求发展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——未雨绸缪，寻求新的增长点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</w:p>
    <w:p>
      <w:pPr>
        <w:adjustRightInd w:val="0"/>
        <w:snapToGrid w:val="0"/>
        <w:spacing w:line="360" w:lineRule="auto"/>
        <w:ind w:firstLine="482" w:firstLineChars="200"/>
        <w:rPr>
          <w:rFonts w:hint="eastAsia" w:ascii="宋体" w:hAnsi="宋体"/>
          <w:b/>
          <w:bCs/>
          <w:color w:val="0000FF"/>
          <w:sz w:val="24"/>
          <w:lang w:val="en-US" w:eastAsia="zh-CN"/>
        </w:rPr>
      </w:pPr>
      <w:r>
        <w:rPr>
          <w:rFonts w:hint="eastAsia" w:ascii="宋体" w:hAnsi="宋体"/>
          <w:b/>
          <w:bCs/>
          <w:color w:val="0000FF"/>
          <w:sz w:val="24"/>
          <w:lang w:val="en-US" w:eastAsia="zh-CN"/>
        </w:rPr>
        <w:t>四、新动能：中国经济新旧动能转换预示国家不再依靠大规模房地产投资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1、新旧动能转换的背景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——十九大报告指出，培育新增长点、形成新动能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——工业革命、技术变革与城市化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——第四次工业革命：工业4.0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480" w:firstLineChars="200"/>
        <w:textAlignment w:val="auto"/>
        <w:outlineLvl w:val="9"/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——中国版“</w:t>
      </w:r>
      <w:r>
        <w:rPr>
          <w:rFonts w:hint="default" w:ascii="宋体" w:hAnsi="宋体"/>
          <w:sz w:val="24"/>
          <w:szCs w:val="24"/>
          <w:lang w:val="en-US" w:eastAsia="zh-CN"/>
        </w:rPr>
        <w:t>工业4.0”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2、什么是旧动能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——旧动能包括：规模速度型目标导向、模仿跟踪型主体支撑、GDP导向制度引领、传统低端产业发展、粗放投入型要素配置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——旧动能的特征：大目标GDP增速、大国企外企主导、</w:t>
      </w:r>
      <w:r>
        <w:rPr>
          <w:rFonts w:hint="eastAsia" w:ascii="宋体" w:hAnsi="宋体"/>
          <w:color w:val="0000FF"/>
          <w:sz w:val="24"/>
          <w:lang w:val="en-US" w:eastAsia="zh-CN"/>
        </w:rPr>
        <w:t>大规模造城运动或房地产开发、大规模基础设施建设、</w:t>
      </w:r>
      <w:r>
        <w:rPr>
          <w:rFonts w:hint="eastAsia" w:ascii="宋体" w:hAnsi="宋体"/>
          <w:sz w:val="24"/>
          <w:lang w:val="en-US" w:eastAsia="zh-CN"/>
        </w:rPr>
        <w:t>大规模开发区建设或工业发展、大规模要素粗放投入、大规模招商引资、大规模模仿跟踪复制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3、什么是新动能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——新动能的内容：质量效益型目标导向、创新型主体支撑、可持续制度引领、新兴高端产业发展、高级要素配置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新动能的表现形式：新制度、新要素(包括新技术、新人才、新信息、新融资、新资源)、新市场、新产业形态(包括新产业、新产品、新业态、新模式、新品牌)、新主体(包括新企业、新企业家、新居民、新平台等)等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4、新旧动能动力转换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——新动能=新动力+新能力</w:t>
      </w:r>
    </w:p>
    <w:p>
      <w:pPr>
        <w:adjustRightInd w:val="0"/>
        <w:snapToGrid w:val="0"/>
        <w:spacing w:line="360" w:lineRule="auto"/>
        <w:ind w:firstLine="482" w:firstLineChars="200"/>
        <w:rPr>
          <w:rFonts w:hint="eastAsia" w:ascii="宋体" w:hAnsi="宋体"/>
          <w:b/>
          <w:bCs/>
          <w:color w:val="0000FF"/>
          <w:sz w:val="24"/>
          <w:lang w:val="en-US" w:eastAsia="zh-CN"/>
        </w:rPr>
      </w:pPr>
    </w:p>
    <w:p>
      <w:pPr>
        <w:adjustRightInd w:val="0"/>
        <w:snapToGrid w:val="0"/>
        <w:spacing w:line="360" w:lineRule="auto"/>
        <w:ind w:firstLine="482" w:firstLineChars="200"/>
        <w:rPr>
          <w:rFonts w:hint="eastAsia" w:ascii="宋体" w:hAnsi="宋体"/>
          <w:b/>
          <w:bCs/>
          <w:color w:val="0000FF"/>
          <w:sz w:val="24"/>
          <w:lang w:val="en-US" w:eastAsia="zh-CN"/>
        </w:rPr>
      </w:pPr>
      <w:r>
        <w:rPr>
          <w:rFonts w:hint="eastAsia" w:ascii="宋体" w:hAnsi="宋体"/>
          <w:b/>
          <w:bCs/>
          <w:color w:val="0000FF"/>
          <w:sz w:val="24"/>
          <w:lang w:val="en-US" w:eastAsia="zh-CN"/>
        </w:rPr>
        <w:t>五、新背景：中国经济长期发展趋势下房地产发展的新宏观背景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1、宏观经济分析的基本框架：总需求与总供给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2、经济增长的决定要素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3、需求三架马车分析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（1）消费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——消费结构升级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——经济增长与消费结构升级的机制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——发展阶段与消费需求结构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——进一步刺激内需不易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（2）投资：民间投资告急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（3）出口：进出口增速回落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4、供给侧分析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 xml:space="preserve">（1）人口问题：未富先老 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（2）资源环境问题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（3）科技创新问题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5、防止陷入“中等收入国家陷阱”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6、五大发展理念引领中国深刻变革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7、经济增长的三大动力来源，表明我国未来经济持续增长支撑房地产需求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（1）城镇化没有完成，房地产市场需求大量存在，房地产投资将继续发挥作用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（2）中西部地区的后发优势，中西部房地产市场前景广阔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（3）消费结构升级，广大中产阶层购房需求增加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8、近年中国经济出现的几个重要拐点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9、对中国未来经济增长的基本判断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</w:p>
    <w:p>
      <w:pPr>
        <w:adjustRightInd w:val="0"/>
        <w:snapToGrid w:val="0"/>
        <w:spacing w:line="360" w:lineRule="auto"/>
        <w:ind w:firstLine="482" w:firstLineChars="200"/>
        <w:rPr>
          <w:rFonts w:hint="eastAsia" w:ascii="宋体" w:hAnsi="宋体"/>
          <w:b/>
          <w:bCs/>
          <w:color w:val="0000FF"/>
          <w:sz w:val="24"/>
          <w:lang w:val="en-US" w:eastAsia="zh-CN"/>
        </w:rPr>
      </w:pPr>
      <w:r>
        <w:rPr>
          <w:rFonts w:hint="eastAsia" w:ascii="宋体" w:hAnsi="宋体"/>
          <w:b/>
          <w:bCs/>
          <w:color w:val="0000FF"/>
          <w:sz w:val="24"/>
          <w:lang w:val="en-US" w:eastAsia="zh-CN"/>
        </w:rPr>
        <w:t>六、新形势：当前宏观经济形势与2018经济前景预判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1、中国经济长期向好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2、克强指数看经济冷暖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3、PMI转为乐观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4、从PPI、CPI看通胀/通缩隐忧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5、资产荒转为资金荒刚开始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6、2018年宏观经济形势研判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——经济短期W型、中长期L型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——2018年宏观经济形势具体研判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——2018中央经济工作会议精神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——2018年的主题：防风险</w:t>
      </w:r>
    </w:p>
    <w:p>
      <w:pPr>
        <w:adjustRightInd w:val="0"/>
        <w:snapToGrid w:val="0"/>
        <w:spacing w:line="360" w:lineRule="auto"/>
        <w:ind w:firstLine="482" w:firstLineChars="200"/>
        <w:rPr>
          <w:rFonts w:hint="eastAsia" w:ascii="宋体" w:hAnsi="宋体"/>
          <w:b/>
          <w:bCs/>
          <w:color w:val="0000FF"/>
          <w:sz w:val="24"/>
          <w:lang w:val="en-US" w:eastAsia="zh-CN"/>
        </w:rPr>
      </w:pPr>
    </w:p>
    <w:p>
      <w:pPr>
        <w:adjustRightInd w:val="0"/>
        <w:snapToGrid w:val="0"/>
        <w:spacing w:line="360" w:lineRule="auto"/>
        <w:ind w:firstLine="482" w:firstLineChars="200"/>
        <w:rPr>
          <w:rFonts w:hint="eastAsia" w:ascii="宋体" w:hAnsi="宋体"/>
          <w:b/>
          <w:bCs/>
          <w:color w:val="0000FF"/>
          <w:sz w:val="24"/>
          <w:lang w:val="en-US" w:eastAsia="zh-CN"/>
        </w:rPr>
      </w:pPr>
      <w:r>
        <w:rPr>
          <w:rFonts w:hint="eastAsia" w:ascii="宋体" w:hAnsi="宋体"/>
          <w:b/>
          <w:bCs/>
          <w:color w:val="0000FF"/>
          <w:sz w:val="24"/>
          <w:lang w:val="en-US" w:eastAsia="zh-CN"/>
        </w:rPr>
        <w:t>七、新风险：金融新周期与金融风险将影响房地产市场健康发展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1、十九大报告指出，要“健全</w:t>
      </w:r>
      <w:r>
        <w:rPr>
          <w:rFonts w:hint="eastAsia" w:ascii="宋体" w:hAnsi="宋体"/>
          <w:sz w:val="24"/>
          <w:lang w:val="en-US" w:eastAsia="zh-CN"/>
        </w:rPr>
        <w:fldChar w:fldCharType="begin"/>
      </w:r>
      <w:r>
        <w:rPr>
          <w:rFonts w:hint="eastAsia" w:ascii="宋体" w:hAnsi="宋体"/>
          <w:sz w:val="24"/>
          <w:lang w:val="en-US" w:eastAsia="zh-CN"/>
        </w:rPr>
        <w:instrText xml:space="preserve"> HYPERLINK "https://www.minshengwang.com/caijing/599334.html" </w:instrText>
      </w:r>
      <w:r>
        <w:rPr>
          <w:rFonts w:hint="eastAsia" w:ascii="宋体" w:hAnsi="宋体"/>
          <w:sz w:val="24"/>
          <w:lang w:val="en-US" w:eastAsia="zh-CN"/>
        </w:rPr>
        <w:fldChar w:fldCharType="separate"/>
      </w:r>
      <w:r>
        <w:rPr>
          <w:rFonts w:hint="eastAsia" w:ascii="宋体" w:hAnsi="宋体"/>
          <w:sz w:val="24"/>
          <w:lang w:val="en-US" w:eastAsia="zh-CN"/>
        </w:rPr>
        <w:t>金融</w:t>
      </w:r>
      <w:r>
        <w:rPr>
          <w:rFonts w:hint="eastAsia" w:ascii="宋体" w:hAnsi="宋体"/>
          <w:sz w:val="24"/>
          <w:lang w:val="en-US" w:eastAsia="zh-CN"/>
        </w:rPr>
        <w:fldChar w:fldCharType="end"/>
      </w:r>
      <w:r>
        <w:rPr>
          <w:rFonts w:hint="eastAsia" w:ascii="宋体" w:hAnsi="宋体"/>
          <w:sz w:val="24"/>
          <w:lang w:val="en-US" w:eastAsia="zh-CN"/>
        </w:rPr>
        <w:t>监管体系，</w:t>
      </w:r>
      <w:r>
        <w:rPr>
          <w:rFonts w:hint="eastAsia" w:ascii="宋体" w:hAnsi="宋体"/>
          <w:sz w:val="24"/>
          <w:lang w:val="en-US" w:eastAsia="zh-CN"/>
        </w:rPr>
        <w:fldChar w:fldCharType="begin"/>
      </w:r>
      <w:r>
        <w:rPr>
          <w:rFonts w:hint="eastAsia" w:ascii="宋体" w:hAnsi="宋体"/>
          <w:sz w:val="24"/>
          <w:lang w:val="en-US" w:eastAsia="zh-CN"/>
        </w:rPr>
        <w:instrText xml:space="preserve"> HYPERLINK "https://www.minshengwang.com/sannong/587142.html" </w:instrText>
      </w:r>
      <w:r>
        <w:rPr>
          <w:rFonts w:hint="eastAsia" w:ascii="宋体" w:hAnsi="宋体"/>
          <w:sz w:val="24"/>
          <w:lang w:val="en-US" w:eastAsia="zh-CN"/>
        </w:rPr>
        <w:fldChar w:fldCharType="separate"/>
      </w:r>
      <w:r>
        <w:rPr>
          <w:rFonts w:hint="eastAsia" w:ascii="宋体" w:hAnsi="宋体"/>
          <w:sz w:val="24"/>
          <w:lang w:val="en-US" w:eastAsia="zh-CN"/>
        </w:rPr>
        <w:t>守住</w:t>
      </w:r>
      <w:r>
        <w:rPr>
          <w:rFonts w:hint="eastAsia" w:ascii="宋体" w:hAnsi="宋体"/>
          <w:sz w:val="24"/>
          <w:lang w:val="en-US" w:eastAsia="zh-CN"/>
        </w:rPr>
        <w:fldChar w:fldCharType="end"/>
      </w:r>
      <w:r>
        <w:rPr>
          <w:rFonts w:hint="eastAsia" w:ascii="宋体" w:hAnsi="宋体"/>
          <w:sz w:val="24"/>
          <w:lang w:val="en-US" w:eastAsia="zh-CN"/>
        </w:rPr>
        <w:t>不</w:t>
      </w:r>
      <w:r>
        <w:rPr>
          <w:rFonts w:hint="eastAsia" w:ascii="宋体" w:hAnsi="宋体"/>
          <w:sz w:val="24"/>
          <w:lang w:val="en-US" w:eastAsia="zh-CN"/>
        </w:rPr>
        <w:fldChar w:fldCharType="begin"/>
      </w:r>
      <w:r>
        <w:rPr>
          <w:rFonts w:hint="eastAsia" w:ascii="宋体" w:hAnsi="宋体"/>
          <w:sz w:val="24"/>
          <w:lang w:val="en-US" w:eastAsia="zh-CN"/>
        </w:rPr>
        <w:instrText xml:space="preserve"> HYPERLINK "https://www.minshengwang.com/junshi/592673.html" </w:instrText>
      </w:r>
      <w:r>
        <w:rPr>
          <w:rFonts w:hint="eastAsia" w:ascii="宋体" w:hAnsi="宋体"/>
          <w:sz w:val="24"/>
          <w:lang w:val="en-US" w:eastAsia="zh-CN"/>
        </w:rPr>
        <w:fldChar w:fldCharType="separate"/>
      </w:r>
      <w:r>
        <w:rPr>
          <w:rFonts w:hint="eastAsia" w:ascii="宋体" w:hAnsi="宋体"/>
          <w:sz w:val="24"/>
          <w:lang w:val="en-US" w:eastAsia="zh-CN"/>
        </w:rPr>
        <w:t>发生</w:t>
      </w:r>
      <w:r>
        <w:rPr>
          <w:rFonts w:hint="eastAsia" w:ascii="宋体" w:hAnsi="宋体"/>
          <w:sz w:val="24"/>
          <w:lang w:val="en-US" w:eastAsia="zh-CN"/>
        </w:rPr>
        <w:fldChar w:fldCharType="end"/>
      </w:r>
      <w:r>
        <w:rPr>
          <w:rFonts w:hint="eastAsia" w:ascii="宋体" w:hAnsi="宋体"/>
          <w:sz w:val="24"/>
          <w:lang w:val="en-US" w:eastAsia="zh-CN"/>
        </w:rPr>
        <w:fldChar w:fldCharType="begin"/>
      </w:r>
      <w:r>
        <w:rPr>
          <w:rFonts w:hint="eastAsia" w:ascii="宋体" w:hAnsi="宋体"/>
          <w:sz w:val="24"/>
          <w:lang w:val="en-US" w:eastAsia="zh-CN"/>
        </w:rPr>
        <w:instrText xml:space="preserve"> HYPERLINK "https://www.minshengwang.com/caijing/635905.html" </w:instrText>
      </w:r>
      <w:r>
        <w:rPr>
          <w:rFonts w:hint="eastAsia" w:ascii="宋体" w:hAnsi="宋体"/>
          <w:sz w:val="24"/>
          <w:lang w:val="en-US" w:eastAsia="zh-CN"/>
        </w:rPr>
        <w:fldChar w:fldCharType="separate"/>
      </w:r>
      <w:r>
        <w:rPr>
          <w:rFonts w:hint="eastAsia" w:ascii="宋体" w:hAnsi="宋体"/>
          <w:sz w:val="24"/>
          <w:lang w:val="en-US" w:eastAsia="zh-CN"/>
        </w:rPr>
        <w:t>系统性</w:t>
      </w:r>
      <w:r>
        <w:rPr>
          <w:rFonts w:hint="eastAsia" w:ascii="宋体" w:hAnsi="宋体"/>
          <w:sz w:val="24"/>
          <w:lang w:val="en-US" w:eastAsia="zh-CN"/>
        </w:rPr>
        <w:fldChar w:fldCharType="end"/>
      </w:r>
      <w:r>
        <w:rPr>
          <w:rFonts w:hint="eastAsia" w:ascii="宋体" w:hAnsi="宋体"/>
          <w:sz w:val="24"/>
          <w:lang w:val="en-US" w:eastAsia="zh-CN"/>
        </w:rPr>
        <w:fldChar w:fldCharType="begin"/>
      </w:r>
      <w:r>
        <w:rPr>
          <w:rFonts w:hint="eastAsia" w:ascii="宋体" w:hAnsi="宋体"/>
          <w:sz w:val="24"/>
          <w:lang w:val="en-US" w:eastAsia="zh-CN"/>
        </w:rPr>
        <w:instrText xml:space="preserve"> HYPERLINK "https://www.minshengwang.com/caijing/599334.html" </w:instrText>
      </w:r>
      <w:r>
        <w:rPr>
          <w:rFonts w:hint="eastAsia" w:ascii="宋体" w:hAnsi="宋体"/>
          <w:sz w:val="24"/>
          <w:lang w:val="en-US" w:eastAsia="zh-CN"/>
        </w:rPr>
        <w:fldChar w:fldCharType="separate"/>
      </w:r>
      <w:r>
        <w:rPr>
          <w:rFonts w:hint="eastAsia" w:ascii="宋体" w:hAnsi="宋体"/>
          <w:sz w:val="24"/>
          <w:lang w:val="en-US" w:eastAsia="zh-CN"/>
        </w:rPr>
        <w:t>金融</w:t>
      </w:r>
      <w:r>
        <w:rPr>
          <w:rFonts w:hint="eastAsia" w:ascii="宋体" w:hAnsi="宋体"/>
          <w:sz w:val="24"/>
          <w:lang w:val="en-US" w:eastAsia="zh-CN"/>
        </w:rPr>
        <w:fldChar w:fldCharType="end"/>
      </w:r>
      <w:r>
        <w:rPr>
          <w:rFonts w:hint="eastAsia" w:ascii="宋体" w:hAnsi="宋体"/>
          <w:sz w:val="24"/>
          <w:lang w:val="en-US" w:eastAsia="zh-CN"/>
        </w:rPr>
        <w:fldChar w:fldCharType="begin"/>
      </w:r>
      <w:r>
        <w:rPr>
          <w:rFonts w:hint="eastAsia" w:ascii="宋体" w:hAnsi="宋体"/>
          <w:sz w:val="24"/>
          <w:lang w:val="en-US" w:eastAsia="zh-CN"/>
        </w:rPr>
        <w:instrText xml:space="preserve"> HYPERLINK "https://www.minshengwang.com/shehui/588430.html" </w:instrText>
      </w:r>
      <w:r>
        <w:rPr>
          <w:rFonts w:hint="eastAsia" w:ascii="宋体" w:hAnsi="宋体"/>
          <w:sz w:val="24"/>
          <w:lang w:val="en-US" w:eastAsia="zh-CN"/>
        </w:rPr>
        <w:fldChar w:fldCharType="separate"/>
      </w:r>
      <w:r>
        <w:rPr>
          <w:rFonts w:hint="eastAsia" w:ascii="宋体" w:hAnsi="宋体"/>
          <w:sz w:val="24"/>
          <w:lang w:val="en-US" w:eastAsia="zh-CN"/>
        </w:rPr>
        <w:t>风险</w:t>
      </w:r>
      <w:r>
        <w:rPr>
          <w:rFonts w:hint="eastAsia" w:ascii="宋体" w:hAnsi="宋体"/>
          <w:sz w:val="24"/>
          <w:lang w:val="en-US" w:eastAsia="zh-CN"/>
        </w:rPr>
        <w:fldChar w:fldCharType="end"/>
      </w:r>
      <w:r>
        <w:rPr>
          <w:rFonts w:hint="eastAsia" w:ascii="宋体" w:hAnsi="宋体"/>
          <w:sz w:val="24"/>
          <w:lang w:val="en-US" w:eastAsia="zh-CN"/>
        </w:rPr>
        <w:t>的</w:t>
      </w:r>
      <w:r>
        <w:rPr>
          <w:rFonts w:hint="eastAsia" w:ascii="宋体" w:hAnsi="宋体"/>
          <w:sz w:val="24"/>
          <w:lang w:val="en-US" w:eastAsia="zh-CN"/>
        </w:rPr>
        <w:fldChar w:fldCharType="begin"/>
      </w:r>
      <w:r>
        <w:rPr>
          <w:rFonts w:hint="eastAsia" w:ascii="宋体" w:hAnsi="宋体"/>
          <w:sz w:val="24"/>
          <w:lang w:val="en-US" w:eastAsia="zh-CN"/>
        </w:rPr>
        <w:instrText xml:space="preserve"> HYPERLINK "https://www.minshengwang.com/yulebagua/yule/607526.html" </w:instrText>
      </w:r>
      <w:r>
        <w:rPr>
          <w:rFonts w:hint="eastAsia" w:ascii="宋体" w:hAnsi="宋体"/>
          <w:sz w:val="24"/>
          <w:lang w:val="en-US" w:eastAsia="zh-CN"/>
        </w:rPr>
        <w:fldChar w:fldCharType="separate"/>
      </w:r>
      <w:r>
        <w:rPr>
          <w:rFonts w:hint="eastAsia" w:ascii="宋体" w:hAnsi="宋体"/>
          <w:sz w:val="24"/>
          <w:lang w:val="en-US" w:eastAsia="zh-CN"/>
        </w:rPr>
        <w:t>底线</w:t>
      </w:r>
      <w:r>
        <w:rPr>
          <w:rFonts w:hint="eastAsia" w:ascii="宋体" w:hAnsi="宋体"/>
          <w:sz w:val="24"/>
          <w:lang w:val="en-US" w:eastAsia="zh-CN"/>
        </w:rPr>
        <w:fldChar w:fldCharType="end"/>
      </w:r>
      <w:r>
        <w:rPr>
          <w:rFonts w:hint="eastAsia" w:ascii="宋体" w:hAnsi="宋体"/>
          <w:sz w:val="24"/>
          <w:lang w:val="en-US" w:eastAsia="zh-CN"/>
        </w:rPr>
        <w:t>”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2、金融新周期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 xml:space="preserve">3、全球债务飙升 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 xml:space="preserve">4、警惕区域性金融风险蔓延 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 xml:space="preserve">5、地方政府债务风险 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6、企业债务风险，部分中小银行面临破产清算威胁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——案例：辽宁、山东企业债务危机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——案例：浙江慈溪建行不良率飙升的教训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——案例：</w:t>
      </w:r>
      <w:r>
        <w:rPr>
          <w:rFonts w:hint="default" w:ascii="宋体" w:hAnsi="宋体"/>
          <w:sz w:val="24"/>
          <w:lang w:val="en-US" w:eastAsia="zh-CN"/>
        </w:rPr>
        <w:t>无锡银行</w:t>
      </w:r>
      <w:r>
        <w:rPr>
          <w:rFonts w:hint="eastAsia" w:ascii="宋体" w:hAnsi="宋体"/>
          <w:sz w:val="24"/>
          <w:lang w:val="en-US" w:eastAsia="zh-CN"/>
        </w:rPr>
        <w:t>：</w:t>
      </w:r>
      <w:r>
        <w:rPr>
          <w:rFonts w:hint="default" w:ascii="宋体" w:hAnsi="宋体"/>
          <w:sz w:val="24"/>
          <w:lang w:val="en-US" w:eastAsia="zh-CN"/>
        </w:rPr>
        <w:t>农商行盲目上市扩张的失败样本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7、资本管制：诡谲的人民币汇率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8、生病的股市：个人理性与集体非理性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9、投资理财的困惑：钱往何处去？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10、百姓发现：只有房地产投资最稳妥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11、房地产企业资金成本提升，融资越来越难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</w:p>
    <w:p>
      <w:pPr>
        <w:adjustRightInd w:val="0"/>
        <w:snapToGrid w:val="0"/>
        <w:spacing w:line="360" w:lineRule="auto"/>
        <w:ind w:firstLine="482" w:firstLineChars="200"/>
        <w:rPr>
          <w:rFonts w:hint="eastAsia" w:ascii="宋体" w:hAnsi="宋体"/>
          <w:b/>
          <w:bCs/>
          <w:color w:val="0000FF"/>
          <w:sz w:val="24"/>
          <w:lang w:val="en-US" w:eastAsia="zh-CN"/>
        </w:rPr>
      </w:pPr>
      <w:r>
        <w:rPr>
          <w:rFonts w:hint="eastAsia" w:ascii="宋体" w:hAnsi="宋体"/>
          <w:b/>
          <w:bCs/>
          <w:color w:val="0000FF"/>
          <w:sz w:val="24"/>
          <w:lang w:val="en-US" w:eastAsia="zh-CN"/>
        </w:rPr>
        <w:t>八、新预测：19大后中国经济走向预示房地产市场平稳发展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1、中国经济长期向好的前景是光明的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2、19大后中国经济走向：加大改革开放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3、房地产市场健康发展是政府、百姓的共同愿望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——朱镕基：房地产拉动了一百多个产业发展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——地方财政压力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——百姓财富保值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4、房价会涨还是跌？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——2017.5.12，人民日报发文：房价上涨是必然趋势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——论经济体量，中国和美国最为相像；论土地制度，中国又是香港式的；论人口结构，中国向日本靠拢。再加上调控，所以房价的问题很复杂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——房地产周期：长期看人口、中期看土地、短期看金融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5、人口老龄化加速影响房地产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——从人口结构上看，大概率上2030年是房地产和房价的转折点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6、土地制度政策变化影响房地产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——政府土地供给是放松还是收紧？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——政府将不再是居住用地唯一供应者、农村宅基地“三权分置”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</w:t>
      </w:r>
      <w:r>
        <w:rPr>
          <w:rFonts w:hint="eastAsia" w:ascii="宋体" w:hAnsi="宋体"/>
          <w:b/>
          <w:bCs/>
          <w:color w:val="FF0000"/>
          <w:sz w:val="24"/>
          <w:lang w:val="en-US" w:eastAsia="zh-CN"/>
        </w:rPr>
        <w:t>（2018.1）</w:t>
      </w:r>
      <w:r>
        <w:rPr>
          <w:rFonts w:hint="eastAsia" w:ascii="宋体" w:hAnsi="宋体"/>
          <w:sz w:val="24"/>
          <w:lang w:val="en-US" w:eastAsia="zh-CN"/>
        </w:rPr>
        <w:t>全国国土资源工作会议释放两大信号，呼应的是推动建立多主体供应、多渠道保障、租购并举的住房制度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7、房地产政策影响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——自2016年四季度以来，全国超55个城市已发布各种相关房地产调控政策累计超160次，包括限购、限贷、限价、限售、限商，中国楼市进入“五限时代”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——部分地区放松限购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8、短期金融收紧，影响百姓购买力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——货币增速放缓，国家实行宏观审慎货币政策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——加息、限贷等一系列手段，金融收紧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——居民负债大幅激增，但负债绝对值远低于美国、日本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9、面对政策变化，房地产企业的应对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——每次限购，房地产企业都会受到影响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——房地产企业借外债的大门被关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</w:t>
      </w:r>
      <w:r>
        <w:rPr>
          <w:rFonts w:hint="eastAsia" w:ascii="宋体" w:hAnsi="宋体"/>
          <w:b/>
          <w:bCs/>
          <w:color w:val="FF0000"/>
          <w:sz w:val="24"/>
          <w:lang w:val="en-US" w:eastAsia="zh-CN"/>
        </w:rPr>
        <w:t>房地产企业融资难、成本提高</w:t>
      </w:r>
    </w:p>
    <w:p>
      <w:pPr>
        <w:adjustRightInd w:val="0"/>
        <w:snapToGrid w:val="0"/>
        <w:spacing w:line="360" w:lineRule="auto"/>
        <w:ind w:firstLine="482" w:firstLineChars="200"/>
        <w:rPr>
          <w:rFonts w:hint="eastAsia" w:ascii="宋体" w:hAnsi="宋体"/>
          <w:b/>
          <w:bCs/>
          <w:color w:val="FF0000"/>
          <w:sz w:val="24"/>
          <w:lang w:val="en-US" w:eastAsia="zh-CN"/>
        </w:rPr>
      </w:pPr>
      <w:r>
        <w:rPr>
          <w:rFonts w:hint="eastAsia" w:ascii="宋体" w:hAnsi="宋体"/>
          <w:b/>
          <w:bCs/>
          <w:color w:val="FF0000"/>
          <w:sz w:val="24"/>
          <w:lang w:val="en-US" w:eastAsia="zh-CN"/>
        </w:rPr>
        <w:t>——房地产企业主要融资方式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</w:t>
      </w:r>
      <w:r>
        <w:rPr>
          <w:rFonts w:hint="eastAsia" w:ascii="宋体" w:hAnsi="宋体"/>
          <w:b/>
          <w:bCs/>
          <w:color w:val="FF0000"/>
          <w:sz w:val="24"/>
          <w:lang w:val="en-US" w:eastAsia="zh-CN"/>
        </w:rPr>
        <w:t>房地产企业融资创新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——做好自己的事情：做好产品，造好房子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——未雨绸缪。系好安全带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——做好企业管理创新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</w:p>
    <w:p>
      <w:pPr>
        <w:adjustRightInd w:val="0"/>
        <w:snapToGrid w:val="0"/>
        <w:spacing w:line="360" w:lineRule="auto"/>
        <w:ind w:firstLine="482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b/>
          <w:bCs/>
          <w:color w:val="0000FF"/>
          <w:sz w:val="24"/>
          <w:lang w:val="en-US" w:eastAsia="zh-CN"/>
        </w:rPr>
        <w:t>九、“互联网+”时代房地产企业管理创新：思维创新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480" w:firstLineChars="200"/>
        <w:textAlignment w:val="auto"/>
        <w:outlineLvl w:val="9"/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1、人类正在进入信息生产力时代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480" w:firstLineChars="200"/>
        <w:textAlignment w:val="auto"/>
        <w:outlineLvl w:val="9"/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2、互联网+将改变什么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480" w:firstLineChars="200"/>
        <w:textAlignment w:val="auto"/>
        <w:outlineLvl w:val="9"/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——制造业、服务业、信息化跨界协同创新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480" w:firstLineChars="200"/>
        <w:textAlignment w:val="auto"/>
        <w:outlineLvl w:val="9"/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3、信息时代三大动力：新基础设施、新要素、新结构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480" w:firstLineChars="200"/>
        <w:textAlignment w:val="auto"/>
        <w:outlineLvl w:val="9"/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——自由连接体：专家化—柔性化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480" w:firstLineChars="200"/>
        <w:textAlignment w:val="auto"/>
        <w:outlineLvl w:val="9"/>
        <w:rPr>
          <w:rFonts w:hint="eastAsia" w:ascii="宋体" w:hAnsi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/>
          <w:b w:val="0"/>
          <w:bCs w:val="0"/>
          <w:sz w:val="24"/>
          <w:szCs w:val="24"/>
          <w:lang w:val="en-US" w:eastAsia="zh-CN"/>
        </w:rPr>
        <w:t>4、互联网+的新思维：政府、企业和个人如何抓住新机遇</w:t>
      </w:r>
    </w:p>
    <w:p>
      <w:pPr>
        <w:adjustRightInd w:val="0"/>
        <w:snapToGrid w:val="0"/>
        <w:spacing w:line="360" w:lineRule="auto"/>
        <w:ind w:firstLine="482" w:firstLineChars="200"/>
        <w:rPr>
          <w:rFonts w:hint="eastAsia" w:ascii="宋体" w:hAnsi="宋体"/>
          <w:b/>
          <w:bCs/>
          <w:color w:val="0000FF"/>
          <w:sz w:val="24"/>
          <w:lang w:val="en-US" w:eastAsia="zh-CN"/>
        </w:rPr>
      </w:pPr>
    </w:p>
    <w:p>
      <w:pPr>
        <w:adjustRightInd w:val="0"/>
        <w:snapToGrid w:val="0"/>
        <w:spacing w:line="360" w:lineRule="auto"/>
        <w:ind w:firstLine="482" w:firstLineChars="200"/>
        <w:rPr>
          <w:rFonts w:hint="eastAsia" w:ascii="宋体" w:hAnsi="宋体"/>
          <w:b/>
          <w:bCs/>
          <w:color w:val="0000FF"/>
          <w:sz w:val="24"/>
          <w:lang w:val="en-US" w:eastAsia="zh-CN"/>
        </w:rPr>
      </w:pPr>
      <w:r>
        <w:rPr>
          <w:rFonts w:hint="eastAsia" w:ascii="宋体" w:hAnsi="宋体"/>
          <w:b/>
          <w:bCs/>
          <w:color w:val="0000FF"/>
          <w:sz w:val="24"/>
          <w:lang w:val="en-US" w:eastAsia="zh-CN"/>
        </w:rPr>
        <w:t>十、“互联网+”时代房地产企业管理创新：战略创新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1、“互联网+”时代下对房地产企业进行管理创新的必要性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2、新形势下的房地产战略转型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3、新形势下的房地产战略转型的案例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——案例：标杆企业的战略调整：万科等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——案例：全产业链之“碧桂园模式”分析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——案例：恒大成功密码解析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</w:p>
    <w:p>
      <w:pPr>
        <w:adjustRightInd w:val="0"/>
        <w:snapToGrid w:val="0"/>
        <w:spacing w:line="360" w:lineRule="auto"/>
        <w:ind w:firstLine="482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b/>
          <w:bCs/>
          <w:color w:val="0000FF"/>
          <w:sz w:val="24"/>
          <w:lang w:val="en-US" w:eastAsia="zh-CN"/>
        </w:rPr>
        <w:t>十一、“互联网+”时代房地产企业管理创新：工作创新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1、领导艺术创新：毛泽东领导艺术与房地产卓越管理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2、互联网时代机制创新：创建良好的团队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——减少管理层次，实现组织结构的扁平化和信息化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3、知识管理创新：房地产企业竞争优势的来源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4、营销模式创新：树立消费者为主导地位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5、企业人力资源管理创新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——互联网时代、人工智能时代80、90青年员工特征与管理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6、企业财务管理创新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</w:p>
    <w:p>
      <w:pPr>
        <w:adjustRightInd w:val="0"/>
        <w:snapToGrid w:val="0"/>
        <w:spacing w:line="360" w:lineRule="auto"/>
        <w:ind w:firstLine="482" w:firstLineChars="200"/>
        <w:rPr>
          <w:rFonts w:hint="eastAsia" w:ascii="宋体" w:hAnsi="宋体"/>
          <w:b/>
          <w:bCs/>
          <w:color w:val="0000FF"/>
          <w:sz w:val="24"/>
          <w:lang w:val="en-US" w:eastAsia="zh-CN"/>
        </w:rPr>
      </w:pPr>
      <w:r>
        <w:rPr>
          <w:rFonts w:hint="eastAsia" w:ascii="宋体" w:hAnsi="宋体"/>
          <w:b/>
          <w:bCs/>
          <w:color w:val="0000FF"/>
          <w:sz w:val="24"/>
          <w:lang w:val="en-US" w:eastAsia="zh-CN"/>
        </w:rPr>
        <w:t>长风破浪会有时，直挂云帆济沧海！</w:t>
      </w:r>
    </w:p>
    <w:p>
      <w:pPr>
        <w:adjustRightInd w:val="0"/>
        <w:snapToGrid w:val="0"/>
        <w:spacing w:line="360" w:lineRule="auto"/>
        <w:ind w:firstLine="482" w:firstLineChars="200"/>
      </w:pPr>
      <w:r>
        <w:rPr>
          <w:rFonts w:hint="eastAsia" w:ascii="宋体" w:hAnsi="宋体"/>
          <w:b/>
          <w:bCs/>
          <w:color w:val="0000FF"/>
          <w:sz w:val="24"/>
          <w:lang w:val="en-US" w:eastAsia="zh-CN"/>
        </w:rPr>
        <w:t>祝大家事业顺利，身体健康！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LNJWO7QAAAABQEAAA8AAAAAAAAA&#10;AQAgAAAAIgAAAGRycy9kb3ducmV2LnhtbFBLAQIUABQAAAAIAIdO4kArqOpyGQIAACEEAAAOAAAA&#10;AAAAAAEAIAAAAB8BAABkcnMvZTJvRG9jLnhtbFBLBQYAAAAABgAGAFkBAACq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11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533EA4"/>
    <w:rsid w:val="11E576F3"/>
    <w:rsid w:val="160B505E"/>
    <w:rsid w:val="19C378D8"/>
    <w:rsid w:val="1C3F1DDE"/>
    <w:rsid w:val="22E263F1"/>
    <w:rsid w:val="239260E4"/>
    <w:rsid w:val="25715DCC"/>
    <w:rsid w:val="27292BA7"/>
    <w:rsid w:val="29506159"/>
    <w:rsid w:val="2A3B2164"/>
    <w:rsid w:val="2B3E3A03"/>
    <w:rsid w:val="2D7043F1"/>
    <w:rsid w:val="38756A6F"/>
    <w:rsid w:val="3E62244C"/>
    <w:rsid w:val="49CA31AC"/>
    <w:rsid w:val="4D630F2C"/>
    <w:rsid w:val="54830D83"/>
    <w:rsid w:val="55533EA4"/>
    <w:rsid w:val="55E65C1E"/>
    <w:rsid w:val="5CA843A4"/>
    <w:rsid w:val="64834300"/>
    <w:rsid w:val="66707DBB"/>
    <w:rsid w:val="6D535020"/>
    <w:rsid w:val="6DCC649E"/>
    <w:rsid w:val="75690E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ang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16</TotalTime>
  <ScaleCrop>false</ScaleCrop>
  <LinksUpToDate>false</LinksUpToDate>
  <CharactersWithSpaces>0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2018-05-08T06:52:00Z</dcterms:created>
  <dc:creator>Wang</dc:creator>
  <cp:lastModifiedBy>Administrator</cp:lastModifiedBy>
  <dcterms:modified xsi:type="dcterms:W3CDTF">2019-11-08T14:28:25Z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