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240"/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</w:pPr>
      <w:r>
        <w:rPr>
          <w:rFonts w:hint="eastAsia" w:ascii="方正美黑简体" w:hAnsi="宋体" w:eastAsia="方正美黑简体"/>
          <w:i w:val="0"/>
          <w:color w:val="000080"/>
          <w:sz w:val="36"/>
          <w:szCs w:val="36"/>
        </w:rPr>
        <w:t>非财沙盘</w:t>
      </w:r>
    </w:p>
    <w:p>
      <w:pPr>
        <w:spacing w:line="360" w:lineRule="auto"/>
        <w:ind w:left="960" w:leftChars="400"/>
        <w:rPr>
          <w:rFonts w:hint="eastAsia" w:ascii="方正姚体" w:hAnsi="宋体" w:eastAsia="方正姚体"/>
          <w:b/>
          <w:color w:val="000080"/>
          <w:sz w:val="28"/>
          <w:szCs w:val="28"/>
        </w:rPr>
      </w:pPr>
      <w:r>
        <w:rPr>
          <w:rFonts w:hint="eastAsia" w:ascii="方正姚体" w:hAnsi="宋体" w:eastAsia="方正姚体"/>
          <w:b/>
          <w:color w:val="000080"/>
          <w:sz w:val="28"/>
          <w:szCs w:val="28"/>
        </w:rPr>
        <w:t>“大富翁”财富沙盘——非</w:t>
      </w:r>
      <w:r>
        <w:rPr>
          <w:rFonts w:hint="eastAsia" w:ascii="方正姚体" w:hAnsi="宋体" w:eastAsia="方正姚体"/>
          <w:b/>
          <w:bCs/>
          <w:color w:val="000080"/>
          <w:sz w:val="28"/>
          <w:szCs w:val="28"/>
        </w:rPr>
        <w:t>财务经理的财务管理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身为公司的一份子，大家都希望企业能够永续经营、财务稳固，以达到企业目标。然而经常听到许多企业拥有好的产品、好的行销团队，但是最后仍然面临倒闭一途，其主要原因就是因为没有做好妥善的资金管理，以致造成资金调度困难。但是相对地，如果公司有太多的闲置资金，也表示公司并没有擅用这些资金来创造公司的利润。因此如何找到平衡点，就是财务管理的重要课题。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「公司收入一块钱，并非真正赚到一块钱」，但是「节省一块钱，就是真正赚到一块钱」。因此，财务管理真正的意义，不仅是要企业的每一份子做好开源，更要做到真正的节流，而财务管理正是提供最好的管理信息与方法。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hAnsi="宋体" w:eastAsia="黑体"/>
          <w:bCs/>
        </w:rPr>
      </w:pPr>
      <w:r>
        <w:rPr>
          <w:rFonts w:hint="eastAsia" w:ascii="黑体" w:eastAsia="黑体"/>
        </w:rPr>
        <w:t>授课方式：</w:t>
      </w:r>
    </w:p>
    <w:p>
      <w:pPr>
        <w:spacing w:line="360" w:lineRule="exact"/>
        <w:ind w:left="821" w:leftChars="342" w:firstLine="482"/>
        <w:rPr>
          <w:rFonts w:hint="eastAsia" w:ascii="宋体" w:hAnsi="宋体"/>
          <w:b/>
          <w:color w:val="333399"/>
          <w:sz w:val="21"/>
          <w:szCs w:val="21"/>
        </w:rPr>
      </w:pPr>
      <w:r>
        <w:rPr>
          <w:rFonts w:hint="eastAsia" w:ascii="宋体" w:hAnsi="宋体"/>
          <w:b/>
          <w:color w:val="333399"/>
          <w:sz w:val="21"/>
          <w:szCs w:val="21"/>
        </w:rPr>
        <w:t>本沙盘最大的特色——为您的企业量身定做的财务沙盘！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成人学习的目的不仅仅是为了增加知识的积累，还要将知识尽快转化成可以在工作中实际使用的技能。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针对这一目的，沙盘演练为学员提供了一个</w:t>
      </w:r>
      <w:r>
        <w:rPr>
          <w:rFonts w:hint="eastAsia" w:ascii="宋体" w:hAnsi="宋体"/>
          <w:b/>
          <w:color w:val="333399"/>
          <w:sz w:val="21"/>
          <w:szCs w:val="21"/>
        </w:rPr>
        <w:t>模拟真实环境</w:t>
      </w:r>
      <w:r>
        <w:rPr>
          <w:rFonts w:hint="eastAsia" w:ascii="宋体" w:hAnsi="宋体"/>
          <w:sz w:val="21"/>
          <w:szCs w:val="21"/>
        </w:rPr>
        <w:t>，让学员分组各自经营一个企业，在实战当中体验企业经营与财务管理的关系，从而更深的理解讲师所传授的财务管理知识。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  <w:r>
        <w:rPr>
          <w:rFonts w:hint="eastAsia" w:ascii="宋体" w:hAnsi="宋体"/>
          <w:sz w:val="21"/>
          <w:szCs w:val="21"/>
        </w:rPr>
        <w:t>在模拟训练中，学员利用沙盘推演，针对经营中所面临的</w:t>
      </w:r>
      <w:r>
        <w:rPr>
          <w:rFonts w:hint="eastAsia" w:ascii="宋体" w:hAnsi="宋体"/>
          <w:b/>
          <w:color w:val="333399"/>
          <w:sz w:val="21"/>
          <w:szCs w:val="21"/>
        </w:rPr>
        <w:t>研发、生产、营销、人力资源</w:t>
      </w:r>
      <w:r>
        <w:rPr>
          <w:rFonts w:hint="eastAsia" w:ascii="宋体" w:hAnsi="宋体"/>
          <w:sz w:val="21"/>
          <w:szCs w:val="21"/>
        </w:rPr>
        <w:t>等各个层面加以决策，产生经营结果，同时利用财务管理呈现出企业经营作呈现的各种问题，例如：现金流、毛利率、净利率等。讲师将针对演练当中出现的问题点，穿插进行知识点的讲解。</w:t>
      </w:r>
    </w:p>
    <w:p>
      <w:pPr>
        <w:spacing w:line="360" w:lineRule="exact"/>
        <w:ind w:left="821" w:leftChars="342" w:firstLine="482"/>
        <w:rPr>
          <w:rFonts w:hint="eastAsia" w:ascii="宋体" w:hAnsi="宋体"/>
          <w:sz w:val="21"/>
          <w:szCs w:val="21"/>
        </w:rPr>
      </w:pP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课程目的：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每周都接触各报表，但有没有从报表中的数据嗅出隐患？－－怎样让</w:t>
      </w:r>
      <w:r>
        <w:rPr>
          <w:rFonts w:ascii="宋体" w:hAnsi="宋体"/>
          <w:bCs/>
          <w:sz w:val="21"/>
          <w:szCs w:val="21"/>
        </w:rPr>
        <w:t xml:space="preserve"> </w:t>
      </w:r>
      <w:r>
        <w:rPr>
          <w:rFonts w:hint="eastAsia" w:ascii="宋体" w:hAnsi="宋体"/>
          <w:bCs/>
          <w:sz w:val="21"/>
          <w:szCs w:val="21"/>
        </w:rPr>
        <w:t>“财务报表”呈现企业的成败和隐忧？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了解财务管理对公司营运之重要性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认识财务报表及用途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了解财务分析对公司之预算、扩展所扮演之角色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由数字预测未来可能之发展，进而及早提出警讯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防止错误之发生于未然</w:t>
      </w:r>
      <w:r>
        <w:rPr>
          <w:rFonts w:ascii="宋体" w:hAnsi="宋体"/>
          <w:bCs/>
          <w:sz w:val="21"/>
          <w:szCs w:val="21"/>
        </w:rPr>
        <w:t xml:space="preserve">, </w:t>
      </w:r>
      <w:r>
        <w:rPr>
          <w:rFonts w:hint="eastAsia" w:ascii="宋体" w:hAnsi="宋体"/>
          <w:bCs/>
          <w:sz w:val="21"/>
          <w:szCs w:val="21"/>
        </w:rPr>
        <w:t>将损失降至最低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作为决策之参考信息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善用预算进行目标管理，产生计划、执行、修正、改善，让参与者了解计划经济在现今的市场的重要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涉及相关知识：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两大财务报表：资产负债表和损益表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杜邦模型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财报分析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保本销售额和预算</w:t>
      </w:r>
    </w:p>
    <w:p>
      <w:pPr>
        <w:widowControl w:val="0"/>
        <w:numPr>
          <w:ilvl w:val="1"/>
          <w:numId w:val="1"/>
        </w:numPr>
        <w:tabs>
          <w:tab w:val="left" w:pos="840"/>
          <w:tab w:val="clear" w:pos="780"/>
        </w:tabs>
        <w:spacing w:line="360" w:lineRule="exact"/>
        <w:ind w:left="840" w:hanging="420"/>
        <w:jc w:val="both"/>
        <w:rPr>
          <w:rFonts w:hint="eastAsia" w:ascii="宋体" w:hAnsi="宋体"/>
          <w:bCs/>
          <w:sz w:val="21"/>
          <w:szCs w:val="21"/>
        </w:rPr>
      </w:pPr>
      <w:r>
        <w:rPr>
          <w:rFonts w:hint="eastAsia" w:ascii="宋体" w:hAnsi="宋体"/>
          <w:bCs/>
          <w:sz w:val="21"/>
          <w:szCs w:val="21"/>
        </w:rPr>
        <w:t>内外部效率分析</w:t>
      </w:r>
      <w:r>
        <w:rPr>
          <w:rFonts w:hint="eastAsia" w:ascii="黑体" w:eastAsia="黑体"/>
        </w:rPr>
        <w:t>：</w:t>
      </w:r>
    </w:p>
    <w:p>
      <w:pPr>
        <w:shd w:val="clear" w:color="auto" w:fill="59B1F9"/>
        <w:spacing w:line="360" w:lineRule="auto"/>
        <w:rPr>
          <w:rFonts w:hint="eastAsia" w:ascii="黑体" w:eastAsia="黑体"/>
        </w:rPr>
      </w:pPr>
      <w:r>
        <w:rPr>
          <w:rFonts w:hint="eastAsia" w:ascii="黑体" w:eastAsia="黑体"/>
        </w:rPr>
        <w:t>简要大纲：</w:t>
      </w:r>
    </w:p>
    <w:p>
      <w:pPr>
        <w:shd w:val="clear" w:color="auto" w:fill="59B1F9"/>
        <w:spacing w:line="360" w:lineRule="auto"/>
        <w:rPr>
          <w:rFonts w:ascii="黑体" w:eastAsia="黑体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 w:val="0"/>
        <w:numPr>
          <w:ilvl w:val="0"/>
          <w:numId w:val="2"/>
        </w:numPr>
        <w:snapToGrid w:val="0"/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管理人员应具备的十大财务理念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会计要素观念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会计政策观念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契约制度观念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现金流量观念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时间价值理念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内部控制理念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成本效益理念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预算管理理念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财务人才理念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税务筹划理念</w:t>
      </w:r>
    </w:p>
    <w:p>
      <w:pPr>
        <w:widowControl w:val="0"/>
        <w:numPr>
          <w:ilvl w:val="0"/>
          <w:numId w:val="2"/>
        </w:numPr>
        <w:snapToGrid w:val="0"/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财务报表的阅读与分析 </w:t>
      </w:r>
    </w:p>
    <w:p>
      <w:pPr>
        <w:snapToGrid w:val="0"/>
        <w:spacing w:line="360" w:lineRule="exact"/>
        <w:ind w:left="420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在读懂财务报表的基础上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hint="eastAsia" w:ascii="宋体" w:hAnsi="宋体" w:cs="宋体"/>
          <w:color w:val="000000"/>
          <w:sz w:val="21"/>
          <w:szCs w:val="21"/>
        </w:rPr>
        <w:t>学会分析报表</w:t>
      </w:r>
      <w:r>
        <w:rPr>
          <w:rFonts w:ascii="宋体" w:hAnsi="宋体" w:cs="宋体"/>
          <w:color w:val="000000"/>
          <w:sz w:val="21"/>
          <w:szCs w:val="21"/>
        </w:rPr>
        <w:t>,</w:t>
      </w:r>
      <w:r>
        <w:rPr>
          <w:rFonts w:hint="eastAsia" w:ascii="宋体" w:hAnsi="宋体" w:cs="宋体"/>
          <w:color w:val="000000"/>
          <w:sz w:val="21"/>
          <w:szCs w:val="21"/>
        </w:rPr>
        <w:t>尝试</w:t>
      </w:r>
      <w:r>
        <w:rPr>
          <w:rFonts w:ascii="宋体" w:hAnsi="宋体" w:cs="宋体"/>
          <w:color w:val="000000"/>
          <w:sz w:val="21"/>
          <w:szCs w:val="21"/>
        </w:rPr>
        <w:t>beyond the number</w:t>
      </w:r>
      <w:r>
        <w:rPr>
          <w:rFonts w:hint="eastAsia" w:ascii="宋体" w:hAnsi="宋体" w:cs="宋体"/>
          <w:color w:val="000000"/>
          <w:sz w:val="21"/>
          <w:szCs w:val="21"/>
        </w:rPr>
        <w:t>——透过报表看出企业资产结构中和经营中所存在的问题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财务报表阅读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财务报表分析方法与技巧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经营力分析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让数字说话——财务分析在公司经营管理中的运用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从部门的角度看财务数据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财务数据是如何反映“产、销、人、发”经营状况的？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公司总体财务状况评价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营运结果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资产分配现况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债务分配状况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投资者分配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现金掌控情况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公司投资项目评价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资金筹集管理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资金的投资管理</w:t>
      </w:r>
    </w:p>
    <w:p>
      <w:pPr>
        <w:widowControl w:val="0"/>
        <w:numPr>
          <w:ilvl w:val="3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资金的营运管理</w:t>
      </w:r>
    </w:p>
    <w:p>
      <w:pPr>
        <w:widowControl w:val="0"/>
        <w:numPr>
          <w:ilvl w:val="0"/>
          <w:numId w:val="2"/>
        </w:numPr>
        <w:snapToGrid w:val="0"/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预算管理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全面预算常见的一些问题和难以逾越的障碍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建立健康的预算文化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全面预算诸多问题解答</w:t>
      </w:r>
    </w:p>
    <w:p>
      <w:pPr>
        <w:widowControl w:val="0"/>
        <w:numPr>
          <w:ilvl w:val="0"/>
          <w:numId w:val="2"/>
        </w:numPr>
        <w:snapToGrid w:val="0"/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非财务经理如何利用财务信息进行企业管理决策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高管人员与现金流量管理要诀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高管人员目标利润与预算管理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高管人员与成本效益管理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>部门管理人员对财务数据在管理决策上的运用</w:t>
      </w:r>
    </w:p>
    <w:p>
      <w:pPr>
        <w:widowControl w:val="0"/>
        <w:numPr>
          <w:ilvl w:val="0"/>
          <w:numId w:val="2"/>
        </w:numPr>
        <w:snapToGrid w:val="0"/>
        <w:spacing w:line="360" w:lineRule="exact"/>
        <w:jc w:val="both"/>
        <w:rPr>
          <w:rFonts w:hint="eastAsia" w:ascii="宋体" w:hAnsi="宋体" w:cs="宋体"/>
          <w:b/>
          <w:color w:val="000000"/>
          <w:sz w:val="21"/>
          <w:szCs w:val="21"/>
        </w:rPr>
      </w:pPr>
      <w:r>
        <w:rPr>
          <w:rFonts w:hint="eastAsia" w:ascii="宋体" w:hAnsi="宋体" w:cs="宋体"/>
          <w:b/>
          <w:color w:val="000000"/>
          <w:sz w:val="21"/>
          <w:szCs w:val="21"/>
        </w:rPr>
        <w:t xml:space="preserve">如何做一个会赚钱的领导者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将成本剔之至骨的方法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将销售推向极致的方法 </w:t>
      </w:r>
    </w:p>
    <w:p>
      <w:pPr>
        <w:widowControl w:val="0"/>
        <w:numPr>
          <w:ilvl w:val="2"/>
          <w:numId w:val="3"/>
        </w:numPr>
        <w:snapToGrid w:val="0"/>
        <w:spacing w:line="360" w:lineRule="exact"/>
        <w:jc w:val="both"/>
        <w:rPr>
          <w:rFonts w:hint="eastAsia" w:ascii="宋体" w:hAnsi="宋体" w:cs="宋体"/>
          <w:color w:val="000000"/>
          <w:sz w:val="21"/>
          <w:szCs w:val="21"/>
        </w:rPr>
      </w:pPr>
      <w:r>
        <w:rPr>
          <w:rFonts w:hint="eastAsia" w:ascii="宋体" w:hAnsi="宋体" w:cs="宋体"/>
          <w:color w:val="000000"/>
          <w:sz w:val="21"/>
          <w:szCs w:val="21"/>
        </w:rPr>
        <w:t xml:space="preserve">创造利润挂帅的企业文化的方法 </w:t>
      </w:r>
    </w:p>
    <w:p>
      <w:pPr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color w:val="000000"/>
          <w:sz w:val="21"/>
          <w:szCs w:val="21"/>
        </w:rPr>
        <w:t>案例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>分享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美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rFonts w:hint="eastAsia"/>
        <w:szCs w:val="21"/>
      </w:rPr>
      <w:t xml:space="preserve">第 </w:t>
    </w:r>
    <w:r>
      <w:rPr>
        <w:szCs w:val="21"/>
      </w:rPr>
      <w:fldChar w:fldCharType="begin"/>
    </w:r>
    <w:r>
      <w:rPr>
        <w:szCs w:val="21"/>
      </w:rPr>
      <w:instrText xml:space="preserve"> PAGE </w:instrText>
    </w:r>
    <w:r>
      <w:rPr>
        <w:szCs w:val="21"/>
      </w:rPr>
      <w:fldChar w:fldCharType="separate"/>
    </w:r>
    <w:r>
      <w:rPr>
        <w:szCs w:val="21"/>
      </w:rPr>
      <w:t>4</w:t>
    </w:r>
    <w:r>
      <w:rPr>
        <w:szCs w:val="21"/>
      </w:rPr>
      <w:fldChar w:fldCharType="end"/>
    </w:r>
    <w:r>
      <w:rPr>
        <w:rFonts w:hint="eastAsia"/>
        <w:szCs w:val="21"/>
      </w:rPr>
      <w:t xml:space="preserve"> 页 共 </w:t>
    </w:r>
    <w:r>
      <w:rPr>
        <w:szCs w:val="21"/>
      </w:rPr>
      <w:fldChar w:fldCharType="begin"/>
    </w:r>
    <w:r>
      <w:rPr>
        <w:szCs w:val="21"/>
      </w:rPr>
      <w:instrText xml:space="preserve"> NUMPAGES </w:instrText>
    </w:r>
    <w:r>
      <w:rPr>
        <w:szCs w:val="21"/>
      </w:rPr>
      <w:fldChar w:fldCharType="separate"/>
    </w:r>
    <w:r>
      <w:rPr>
        <w:szCs w:val="21"/>
      </w:rPr>
      <w:t>37</w:t>
    </w:r>
    <w:r>
      <w:rPr>
        <w:szCs w:val="21"/>
      </w:rPr>
      <w:fldChar w:fldCharType="end"/>
    </w:r>
    <w:r>
      <w:rPr>
        <w:rFonts w:hint="eastAsia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szCs w:val="22"/>
      </w:rPr>
    </w:pPr>
    <w:r>
      <w:rPr>
        <w:rFonts w:hint="eastAsia"/>
        <w:szCs w:val="22"/>
      </w:rPr>
      <w:t>李贵霖（昭瑢）博士2021年课程大纲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79187A"/>
    <w:multiLevelType w:val="multilevel"/>
    <w:tmpl w:val="2779187A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hint="default" w:ascii="Symbol" w:hAnsi="Symbol"/>
        <w:sz w:val="28"/>
        <w:szCs w:val="28"/>
      </w:rPr>
    </w:lvl>
    <w:lvl w:ilvl="1" w:tentative="0">
      <w:start w:val="1"/>
      <w:numFmt w:val="bullet"/>
      <w:lvlText w:val="◇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2" w:tentative="0">
      <w:start w:val="1"/>
      <w:numFmt w:val="bullet"/>
      <w:lvlText w:val="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</w:abstractNum>
  <w:abstractNum w:abstractNumId="1">
    <w:nsid w:val="32D43F35"/>
    <w:multiLevelType w:val="multilevel"/>
    <w:tmpl w:val="32D43F35"/>
    <w:lvl w:ilvl="0" w:tentative="0">
      <w:start w:val="1"/>
      <w:numFmt w:val="bullet"/>
      <w:lvlText w:val=""/>
      <w:lvlJc w:val="left"/>
      <w:pPr>
        <w:tabs>
          <w:tab w:val="left" w:pos="420"/>
        </w:tabs>
        <w:ind w:left="420" w:hanging="420"/>
      </w:pPr>
      <w:rPr>
        <w:rFonts w:hint="default" w:ascii="Symbol" w:hAnsi="Symbol"/>
        <w:sz w:val="28"/>
        <w:szCs w:val="28"/>
      </w:rPr>
    </w:lvl>
    <w:lvl w:ilvl="1" w:tentative="0">
      <w:start w:val="1"/>
      <w:numFmt w:val="bullet"/>
      <w:lvlText w:val="◇"/>
      <w:lvlJc w:val="left"/>
      <w:pPr>
        <w:tabs>
          <w:tab w:val="left" w:pos="360"/>
        </w:tabs>
        <w:ind w:left="360" w:hanging="360"/>
      </w:pPr>
      <w:rPr>
        <w:rFonts w:hint="eastAsia" w:ascii="宋体" w:hAnsi="宋体" w:eastAsia="宋体" w:cs="宋体"/>
      </w:rPr>
    </w:lvl>
    <w:lvl w:ilvl="2" w:tentative="0">
      <w:start w:val="1"/>
      <w:numFmt w:val="bullet"/>
      <w:lvlText w:val="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sz w:val="28"/>
        <w:szCs w:val="28"/>
      </w:rPr>
    </w:lvl>
    <w:lvl w:ilvl="3" w:tentative="0">
      <w:start w:val="1"/>
      <w:numFmt w:val="bullet"/>
      <w:lvlText w:val="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4" w:tentative="0">
      <w:start w:val="2"/>
      <w:numFmt w:val="bullet"/>
      <w:lvlText w:val="-"/>
      <w:lvlJc w:val="left"/>
      <w:pPr>
        <w:tabs>
          <w:tab w:val="left" w:pos="1620"/>
        </w:tabs>
        <w:ind w:left="1620" w:hanging="360"/>
      </w:pPr>
      <w:rPr>
        <w:rFonts w:hint="eastAsia" w:ascii="宋体" w:hAnsi="宋体" w:eastAsia="宋体" w:cs="宋体"/>
      </w:rPr>
    </w:lvl>
    <w:lvl w:ilvl="5" w:tentative="0">
      <w:start w:val="1"/>
      <w:numFmt w:val="bullet"/>
      <w:lvlText w:val="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</w:abstractNum>
  <w:abstractNum w:abstractNumId="2">
    <w:nsid w:val="7CBC7FC9"/>
    <w:multiLevelType w:val="multilevel"/>
    <w:tmpl w:val="7CBC7FC9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3"/>
      <w:numFmt w:val="bullet"/>
      <w:lvlText w:val="-"/>
      <w:lvlJc w:val="left"/>
      <w:pPr>
        <w:tabs>
          <w:tab w:val="left" w:pos="780"/>
        </w:tabs>
        <w:ind w:left="780" w:hanging="360"/>
      </w:pPr>
      <w:rPr>
        <w:rFonts w:hint="eastAsia" w:ascii="宋体" w:hAnsi="宋体" w:eastAsia="宋体" w:cs="Times New Roman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79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2021-08-05T05:20:39Z</dcterms:created>
  <dc:creator>shizi06</dc:creator>
  <cp:lastModifiedBy>蓉儿</cp:lastModifiedBy>
  <dcterms:modified xsi:type="dcterms:W3CDTF">2021-08-05T05:21:05Z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02D1C628D3A84B3CACC93034EEA70562</vt:lpwstr>
  </property>
</Properties>
</file>