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1"/>
        </w:numPr>
        <w:spacing w:after="240"/>
        <w:jc w:val="both"/>
        <w:rPr>
          <w:rFonts w:hint="eastAsia" w:ascii="宋体" w:hAnsi="宋体"/>
          <w:i w:val="0"/>
          <w:color w:val="000080"/>
          <w:sz w:val="44"/>
          <w:szCs w:val="44"/>
        </w:rPr>
      </w:pPr>
      <w:bookmarkStart w:id="0" w:name="_Toc351048322"/>
      <w:bookmarkStart w:id="1" w:name="_Toc351046156"/>
      <w:r>
        <w:rPr>
          <w:rFonts w:hint="eastAsia" w:ascii="宋体" w:hAnsi="宋体"/>
          <w:i w:val="0"/>
          <w:color w:val="000080"/>
          <w:sz w:val="44"/>
          <w:szCs w:val="44"/>
        </w:rPr>
        <w:t>银行经理财务报表阅读与分析</w:t>
      </w:r>
      <w:bookmarkEnd w:id="0"/>
      <w:bookmarkEnd w:id="1"/>
    </w:p>
    <w:p>
      <w:pPr>
        <w:adjustRightInd w:val="0"/>
        <w:snapToGrid w:val="0"/>
        <w:spacing w:line="380" w:lineRule="atLeast"/>
        <w:rPr>
          <w:rFonts w:hint="eastAsia" w:ascii="楷体_GB2312" w:hAnsi="宋体" w:eastAsia="楷体_GB2312"/>
          <w:color w:val="0000FF"/>
          <w:sz w:val="21"/>
          <w:szCs w:val="21"/>
        </w:rPr>
      </w:pPr>
      <w:r>
        <w:rPr>
          <w:rFonts w:hint="eastAsia" w:ascii="楷体_GB2312" w:hAnsi="宋体" w:eastAsia="楷体_GB2312"/>
          <w:color w:val="0000FF"/>
          <w:sz w:val="21"/>
          <w:szCs w:val="21"/>
        </w:rPr>
        <w:t>【课程目的】</w:t>
      </w:r>
    </w:p>
    <w:p>
      <w:pPr>
        <w:spacing w:line="460" w:lineRule="exact"/>
        <w:ind w:left="410" w:leftChars="171" w:firstLine="420" w:firstLineChars="200"/>
        <w:rPr>
          <w:rFonts w:hint="eastAsia" w:ascii="楷体_GB2312" w:eastAsia="楷体_GB2312"/>
          <w:sz w:val="21"/>
          <w:szCs w:val="21"/>
        </w:rPr>
      </w:pPr>
      <w:r>
        <w:rPr>
          <w:rFonts w:hint="eastAsia" w:ascii="楷体_GB2312" w:eastAsia="楷体_GB2312"/>
          <w:sz w:val="21"/>
          <w:szCs w:val="21"/>
        </w:rPr>
        <w:t>本课程专门针对银行经理在展开业务和日常管理的需求，采用财务突破法，以银行经理的观点为出发，将财务课程变成生动有趣的课程，并且加入实际的财务报表，进行经营分析。让银行经理们很快了解现有企业的财务粉饰效果与实际效果的差异！有助于银行经理们可以轻松掌握财务报表的动态，洞察企业经营内幕，防范信贷与经营风险，提升银行经理们的财务管理素质，进而提升银行的竞争力及风险管理！</w:t>
      </w:r>
    </w:p>
    <w:p>
      <w:pPr>
        <w:spacing w:line="460" w:lineRule="exact"/>
        <w:ind w:left="410" w:leftChars="171" w:firstLine="420" w:firstLineChars="200"/>
        <w:rPr>
          <w:rFonts w:hint="eastAsia" w:ascii="楷体_GB2312" w:hAnsi="宋体" w:eastAsia="楷体_GB2312"/>
          <w:sz w:val="21"/>
          <w:szCs w:val="21"/>
        </w:rPr>
      </w:pPr>
      <w:r>
        <w:rPr>
          <w:rFonts w:hint="eastAsia" w:ascii="楷体_GB2312" w:eastAsia="楷体_GB2312"/>
          <w:sz w:val="21"/>
          <w:szCs w:val="21"/>
        </w:rPr>
        <w:t>本课程将以下列不同</w:t>
      </w:r>
      <w:r>
        <w:rPr>
          <w:rFonts w:hint="eastAsia" w:ascii="楷体_GB2312" w:hAnsi="宋体" w:eastAsia="楷体_GB2312"/>
          <w:sz w:val="21"/>
          <w:szCs w:val="21"/>
        </w:rPr>
        <w:t>行业（不动产、物业管理、IC 电子业、通讯、机械、港口、物流、零售、公共建设、基础建设、乡镇企业、集团合并报表）进行各种行业分析及同业比较。让银行经理可以快速认识各行业的经营特性。</w:t>
      </w:r>
    </w:p>
    <w:p>
      <w:pPr>
        <w:rPr>
          <w:rFonts w:hint="eastAsia" w:ascii="楷体_GB2312" w:eastAsia="楷体_GB2312"/>
          <w:sz w:val="21"/>
          <w:szCs w:val="21"/>
        </w:rPr>
      </w:pPr>
    </w:p>
    <w:p>
      <w:pPr>
        <w:adjustRightInd w:val="0"/>
        <w:snapToGrid w:val="0"/>
        <w:spacing w:line="380" w:lineRule="atLeast"/>
        <w:rPr>
          <w:rFonts w:hint="eastAsia" w:ascii="楷体_GB2312" w:hAnsi="宋体" w:eastAsia="楷体_GB2312"/>
          <w:color w:val="0000FF"/>
          <w:sz w:val="21"/>
          <w:szCs w:val="21"/>
        </w:rPr>
      </w:pPr>
      <w:r>
        <w:rPr>
          <w:rFonts w:hint="eastAsia" w:ascii="楷体_GB2312" w:hAnsi="宋体" w:eastAsia="楷体_GB2312"/>
          <w:color w:val="0000FF"/>
          <w:sz w:val="21"/>
          <w:szCs w:val="21"/>
        </w:rPr>
        <w:t>【学员适合对象】</w:t>
      </w:r>
    </w:p>
    <w:p>
      <w:pPr>
        <w:ind w:firstLine="420" w:firstLineChars="200"/>
        <w:rPr>
          <w:rFonts w:hint="eastAsia" w:ascii="楷体_GB2312" w:eastAsia="楷体_GB2312"/>
          <w:sz w:val="21"/>
          <w:szCs w:val="21"/>
        </w:rPr>
      </w:pPr>
      <w:r>
        <w:rPr>
          <w:rFonts w:hint="eastAsia" w:ascii="楷体_GB2312" w:eastAsia="楷体_GB2312"/>
          <w:sz w:val="21"/>
          <w:szCs w:val="21"/>
        </w:rPr>
        <w:t>银行客户经理、银行管理人员、相关人员</w:t>
      </w:r>
    </w:p>
    <w:p>
      <w:pPr>
        <w:ind w:firstLine="420" w:firstLineChars="200"/>
        <w:rPr>
          <w:rFonts w:hint="eastAsia" w:ascii="楷体_GB2312" w:eastAsia="楷体_GB2312"/>
          <w:sz w:val="21"/>
          <w:szCs w:val="21"/>
        </w:rPr>
      </w:pPr>
    </w:p>
    <w:p>
      <w:pPr>
        <w:adjustRightInd w:val="0"/>
        <w:snapToGrid w:val="0"/>
        <w:spacing w:line="380" w:lineRule="atLeast"/>
        <w:rPr>
          <w:rFonts w:hint="eastAsia" w:ascii="楷体_GB2312" w:hAnsi="宋体" w:eastAsia="楷体_GB2312"/>
          <w:color w:val="0000FF"/>
          <w:sz w:val="21"/>
          <w:szCs w:val="21"/>
        </w:rPr>
      </w:pPr>
      <w:r>
        <w:rPr>
          <w:rFonts w:hint="eastAsia" w:ascii="楷体_GB2312" w:hAnsi="宋体" w:eastAsia="楷体_GB2312"/>
          <w:color w:val="0000FF"/>
          <w:sz w:val="21"/>
          <w:szCs w:val="21"/>
        </w:rPr>
        <w:t>【课程收益】</w:t>
      </w:r>
    </w:p>
    <w:p>
      <w:pPr>
        <w:widowControl w:val="0"/>
        <w:numPr>
          <w:ilvl w:val="0"/>
          <w:numId w:val="2"/>
        </w:numPr>
        <w:tabs>
          <w:tab w:val="left" w:pos="850"/>
        </w:tabs>
        <w:spacing w:line="440" w:lineRule="exact"/>
        <w:ind w:left="492" w:leftChars="205"/>
        <w:jc w:val="both"/>
        <w:rPr>
          <w:rFonts w:hint="eastAsia" w:ascii="楷体_GB2312" w:eastAsia="楷体_GB2312"/>
          <w:color w:val="000000"/>
          <w:sz w:val="21"/>
          <w:szCs w:val="21"/>
        </w:rPr>
      </w:pPr>
      <w:r>
        <w:rPr>
          <w:rFonts w:hint="eastAsia" w:ascii="楷体_GB2312" w:eastAsia="楷体_GB2312"/>
          <w:color w:val="000000"/>
          <w:sz w:val="21"/>
          <w:szCs w:val="21"/>
        </w:rPr>
        <w:t>如何从客户的组织结构图和供应链看客户的利润来源？</w:t>
      </w:r>
    </w:p>
    <w:p>
      <w:pPr>
        <w:widowControl w:val="0"/>
        <w:numPr>
          <w:ilvl w:val="0"/>
          <w:numId w:val="2"/>
        </w:numPr>
        <w:tabs>
          <w:tab w:val="left" w:pos="850"/>
        </w:tabs>
        <w:spacing w:line="440" w:lineRule="exact"/>
        <w:ind w:left="492" w:leftChars="205"/>
        <w:jc w:val="both"/>
        <w:rPr>
          <w:rFonts w:hint="eastAsia" w:ascii="楷体_GB2312" w:eastAsia="楷体_GB2312"/>
          <w:color w:val="000000"/>
          <w:sz w:val="21"/>
          <w:szCs w:val="21"/>
        </w:rPr>
      </w:pPr>
      <w:r>
        <w:rPr>
          <w:rFonts w:hint="eastAsia" w:ascii="楷体_GB2312" w:eastAsia="楷体_GB2312"/>
          <w:color w:val="000000"/>
          <w:sz w:val="21"/>
          <w:szCs w:val="21"/>
        </w:rPr>
        <w:t>如果客户借钱是因为资金循环期间太长而缺营运资金，怎么评估银行的风险？</w:t>
      </w:r>
    </w:p>
    <w:p>
      <w:pPr>
        <w:widowControl w:val="0"/>
        <w:numPr>
          <w:ilvl w:val="0"/>
          <w:numId w:val="2"/>
        </w:numPr>
        <w:tabs>
          <w:tab w:val="left" w:pos="850"/>
        </w:tabs>
        <w:spacing w:line="440" w:lineRule="exact"/>
        <w:ind w:left="492" w:leftChars="205"/>
        <w:jc w:val="both"/>
        <w:rPr>
          <w:rFonts w:hint="eastAsia" w:ascii="楷体_GB2312" w:eastAsia="楷体_GB2312"/>
          <w:color w:val="000000"/>
          <w:sz w:val="21"/>
          <w:szCs w:val="21"/>
        </w:rPr>
      </w:pPr>
      <w:r>
        <w:rPr>
          <w:rFonts w:hint="eastAsia" w:ascii="楷体_GB2312" w:eastAsia="楷体_GB2312"/>
          <w:color w:val="000000"/>
          <w:sz w:val="21"/>
          <w:szCs w:val="21"/>
        </w:rPr>
        <w:t>如果客户借钱是想扩大规模而缺长期资金，怎么评估银行的风险？</w:t>
      </w:r>
    </w:p>
    <w:p>
      <w:pPr>
        <w:widowControl w:val="0"/>
        <w:numPr>
          <w:ilvl w:val="0"/>
          <w:numId w:val="2"/>
        </w:numPr>
        <w:tabs>
          <w:tab w:val="left" w:pos="850"/>
        </w:tabs>
        <w:spacing w:line="440" w:lineRule="exact"/>
        <w:ind w:left="492" w:leftChars="205"/>
        <w:jc w:val="both"/>
        <w:rPr>
          <w:rFonts w:hint="eastAsia" w:ascii="楷体_GB2312" w:eastAsia="楷体_GB2312"/>
          <w:color w:val="000000"/>
          <w:sz w:val="21"/>
          <w:szCs w:val="21"/>
        </w:rPr>
      </w:pPr>
      <w:r>
        <w:rPr>
          <w:rFonts w:hint="eastAsia" w:ascii="楷体_GB2312" w:eastAsia="楷体_GB2312"/>
          <w:color w:val="000000"/>
          <w:sz w:val="21"/>
          <w:szCs w:val="21"/>
        </w:rPr>
        <w:t>这是个好客户吗？--理想的企业经营模式</w:t>
      </w:r>
    </w:p>
    <w:p>
      <w:pPr>
        <w:widowControl w:val="0"/>
        <w:numPr>
          <w:ilvl w:val="0"/>
          <w:numId w:val="2"/>
        </w:numPr>
        <w:tabs>
          <w:tab w:val="left" w:pos="850"/>
        </w:tabs>
        <w:spacing w:line="440" w:lineRule="exact"/>
        <w:ind w:left="492" w:leftChars="205"/>
        <w:jc w:val="both"/>
        <w:rPr>
          <w:rFonts w:hint="eastAsia" w:ascii="楷体_GB2312" w:eastAsia="楷体_GB2312"/>
          <w:color w:val="000000"/>
          <w:sz w:val="21"/>
          <w:szCs w:val="21"/>
        </w:rPr>
      </w:pPr>
      <w:r>
        <w:rPr>
          <w:rFonts w:hint="eastAsia" w:ascii="楷体_GB2312" w:eastAsia="楷体_GB2312"/>
          <w:color w:val="000000"/>
          <w:sz w:val="21"/>
          <w:szCs w:val="21"/>
        </w:rPr>
        <w:t>财务会计丑闻面面观</w:t>
      </w:r>
    </w:p>
    <w:p>
      <w:pPr>
        <w:widowControl w:val="0"/>
        <w:numPr>
          <w:ilvl w:val="0"/>
          <w:numId w:val="2"/>
        </w:numPr>
        <w:tabs>
          <w:tab w:val="left" w:pos="850"/>
        </w:tabs>
        <w:spacing w:line="440" w:lineRule="exact"/>
        <w:ind w:left="492" w:leftChars="205"/>
        <w:jc w:val="both"/>
        <w:rPr>
          <w:rFonts w:hint="eastAsia" w:ascii="楷体_GB2312" w:eastAsia="楷体_GB2312"/>
          <w:color w:val="000000"/>
          <w:sz w:val="21"/>
          <w:szCs w:val="21"/>
        </w:rPr>
      </w:pPr>
      <w:r>
        <w:rPr>
          <w:rFonts w:hint="eastAsia" w:ascii="楷体_GB2312" w:eastAsia="楷体_GB2312"/>
          <w:color w:val="000000"/>
          <w:sz w:val="21"/>
          <w:szCs w:val="21"/>
        </w:rPr>
        <w:t>粉饰财务报表，操纵利润的手法</w:t>
      </w:r>
    </w:p>
    <w:p>
      <w:pPr>
        <w:widowControl w:val="0"/>
        <w:numPr>
          <w:ilvl w:val="0"/>
          <w:numId w:val="2"/>
        </w:numPr>
        <w:tabs>
          <w:tab w:val="left" w:pos="850"/>
        </w:tabs>
        <w:spacing w:line="440" w:lineRule="exact"/>
        <w:ind w:left="492" w:leftChars="205"/>
        <w:jc w:val="both"/>
        <w:rPr>
          <w:rFonts w:hint="eastAsia" w:ascii="楷体_GB2312" w:eastAsia="楷体_GB2312"/>
          <w:color w:val="000000"/>
          <w:sz w:val="21"/>
          <w:szCs w:val="21"/>
        </w:rPr>
      </w:pPr>
      <w:r>
        <w:rPr>
          <w:rFonts w:hint="eastAsia" w:ascii="楷体_GB2312" w:eastAsia="楷体_GB2312"/>
          <w:color w:val="000000"/>
          <w:sz w:val="21"/>
          <w:szCs w:val="21"/>
        </w:rPr>
        <w:t>客户是否在变坏的征兆显现在哪里？</w:t>
      </w:r>
    </w:p>
    <w:p>
      <w:pPr>
        <w:widowControl w:val="0"/>
        <w:spacing w:line="440" w:lineRule="exact"/>
        <w:ind w:left="492"/>
        <w:jc w:val="both"/>
        <w:rPr>
          <w:rFonts w:hint="eastAsia" w:ascii="楷体_GB2312" w:eastAsia="楷体_GB2312"/>
          <w:color w:val="000000"/>
          <w:sz w:val="21"/>
          <w:szCs w:val="21"/>
        </w:rPr>
      </w:pPr>
    </w:p>
    <w:p>
      <w:pPr>
        <w:adjustRightInd w:val="0"/>
        <w:snapToGrid w:val="0"/>
        <w:spacing w:line="380" w:lineRule="atLeast"/>
        <w:rPr>
          <w:rFonts w:hint="eastAsia" w:ascii="楷体_GB2312" w:hAnsi="宋体" w:eastAsia="楷体_GB2312"/>
          <w:color w:val="0000FF"/>
          <w:sz w:val="21"/>
          <w:szCs w:val="21"/>
        </w:rPr>
      </w:pPr>
      <w:r>
        <w:rPr>
          <w:rFonts w:hint="eastAsia" w:ascii="楷体_GB2312" w:hAnsi="宋体" w:eastAsia="楷体_GB2312"/>
          <w:color w:val="0000FF"/>
          <w:sz w:val="21"/>
          <w:szCs w:val="21"/>
        </w:rPr>
        <w:t>【课程特色】</w:t>
      </w:r>
    </w:p>
    <w:p>
      <w:pPr>
        <w:widowControl w:val="0"/>
        <w:numPr>
          <w:ilvl w:val="0"/>
          <w:numId w:val="3"/>
        </w:numPr>
        <w:tabs>
          <w:tab w:val="left" w:pos="720"/>
        </w:tabs>
        <w:snapToGrid w:val="0"/>
        <w:spacing w:line="460" w:lineRule="exact"/>
        <w:ind w:left="720" w:hanging="295"/>
        <w:jc w:val="both"/>
        <w:rPr>
          <w:rFonts w:hint="eastAsia" w:ascii="楷体_GB2312" w:eastAsia="楷体_GB2312"/>
          <w:sz w:val="21"/>
          <w:szCs w:val="21"/>
        </w:rPr>
      </w:pPr>
      <w:r>
        <w:rPr>
          <w:rFonts w:hint="eastAsia" w:ascii="楷体_GB2312" w:eastAsia="楷体_GB2312"/>
          <w:sz w:val="21"/>
          <w:szCs w:val="21"/>
        </w:rPr>
        <w:t>透过讲师讲授、案例演练，使学员体会所学知识基本精神及可运用之方法、技巧，以能运用于实际工作中。</w:t>
      </w:r>
    </w:p>
    <w:p>
      <w:pPr>
        <w:widowControl w:val="0"/>
        <w:numPr>
          <w:ilvl w:val="0"/>
          <w:numId w:val="3"/>
        </w:numPr>
        <w:tabs>
          <w:tab w:val="left" w:pos="720"/>
        </w:tabs>
        <w:snapToGrid w:val="0"/>
        <w:spacing w:before="120" w:beforeLines="50" w:line="460" w:lineRule="exact"/>
        <w:ind w:left="720" w:hanging="295"/>
        <w:jc w:val="both"/>
        <w:rPr>
          <w:rFonts w:hint="eastAsia" w:ascii="楷体_GB2312" w:eastAsia="楷体_GB2312"/>
          <w:sz w:val="21"/>
          <w:szCs w:val="21"/>
        </w:rPr>
      </w:pPr>
      <w:r>
        <w:rPr>
          <w:rFonts w:hint="eastAsia" w:ascii="楷体_GB2312" w:eastAsia="楷体_GB2312"/>
          <w:color w:val="0000FF"/>
          <w:sz w:val="21"/>
          <w:szCs w:val="21"/>
        </w:rPr>
        <w:t>采用案例讨论，</w:t>
      </w:r>
      <w:r>
        <w:rPr>
          <w:rFonts w:hint="eastAsia" w:ascii="楷体_GB2312" w:eastAsia="楷体_GB2312"/>
          <w:sz w:val="21"/>
          <w:szCs w:val="21"/>
        </w:rPr>
        <w:t>而非传统之讲授式或理论式的教学方法，故可达到以下之教学效果：</w:t>
      </w:r>
    </w:p>
    <w:p>
      <w:pPr>
        <w:widowControl w:val="0"/>
        <w:numPr>
          <w:ilvl w:val="0"/>
          <w:numId w:val="4"/>
        </w:numPr>
        <w:tabs>
          <w:tab w:val="left" w:pos="720"/>
          <w:tab w:val="left" w:pos="1690"/>
        </w:tabs>
        <w:snapToGrid w:val="0"/>
        <w:spacing w:line="460" w:lineRule="exact"/>
        <w:ind w:left="960" w:leftChars="400"/>
        <w:jc w:val="both"/>
        <w:rPr>
          <w:rFonts w:hint="eastAsia" w:ascii="楷体_GB2312" w:eastAsia="楷体_GB2312"/>
          <w:sz w:val="21"/>
          <w:szCs w:val="21"/>
        </w:rPr>
      </w:pPr>
      <w:r>
        <w:rPr>
          <w:rFonts w:hint="eastAsia" w:ascii="楷体_GB2312" w:eastAsia="楷体_GB2312"/>
          <w:sz w:val="21"/>
          <w:szCs w:val="21"/>
        </w:rPr>
        <w:t>课程生动活泼，效果立竿见影</w:t>
      </w:r>
    </w:p>
    <w:p>
      <w:pPr>
        <w:widowControl w:val="0"/>
        <w:numPr>
          <w:ilvl w:val="0"/>
          <w:numId w:val="4"/>
        </w:numPr>
        <w:tabs>
          <w:tab w:val="left" w:pos="720"/>
          <w:tab w:val="left" w:pos="1690"/>
        </w:tabs>
        <w:snapToGrid w:val="0"/>
        <w:spacing w:line="460" w:lineRule="exact"/>
        <w:ind w:left="960" w:leftChars="400"/>
        <w:jc w:val="both"/>
        <w:rPr>
          <w:rFonts w:hint="eastAsia" w:ascii="楷体_GB2312" w:eastAsia="楷体_GB2312"/>
          <w:sz w:val="21"/>
          <w:szCs w:val="21"/>
        </w:rPr>
      </w:pPr>
      <w:r>
        <w:rPr>
          <w:rFonts w:hint="eastAsia" w:ascii="楷体_GB2312" w:eastAsia="楷体_GB2312"/>
          <w:sz w:val="21"/>
          <w:szCs w:val="21"/>
        </w:rPr>
        <w:t>课程上即知即用，不易遗忘，并能将实际运用于工作中</w:t>
      </w:r>
    </w:p>
    <w:p>
      <w:pPr>
        <w:adjustRightInd w:val="0"/>
        <w:snapToGrid w:val="0"/>
        <w:spacing w:line="380" w:lineRule="atLeast"/>
        <w:rPr>
          <w:rFonts w:hint="eastAsia" w:ascii="楷体_GB2312" w:hAnsi="宋体" w:eastAsia="楷体_GB2312"/>
          <w:b/>
          <w:color w:val="0000FF"/>
          <w:sz w:val="21"/>
          <w:szCs w:val="21"/>
        </w:rPr>
      </w:pPr>
      <w:r>
        <w:rPr>
          <w:rFonts w:hint="eastAsia" w:ascii="楷体_GB2312" w:hAnsi="宋体" w:eastAsia="楷体_GB2312"/>
          <w:b/>
          <w:color w:val="0000FF"/>
          <w:sz w:val="21"/>
          <w:szCs w:val="21"/>
        </w:rPr>
        <w:t>【课程大纲】</w:t>
      </w:r>
    </w:p>
    <w:p>
      <w:pPr>
        <w:widowControl w:val="0"/>
        <w:numPr>
          <w:ilvl w:val="0"/>
          <w:numId w:val="5"/>
        </w:numPr>
        <w:spacing w:line="460" w:lineRule="exact"/>
        <w:jc w:val="both"/>
        <w:rPr>
          <w:rFonts w:ascii="楷体_GB2312" w:hAnsi="宋体" w:eastAsia="楷体_GB2312"/>
          <w:sz w:val="21"/>
          <w:szCs w:val="21"/>
        </w:rPr>
        <w:sectPr>
          <w:headerReference r:id="rId3" w:type="default"/>
          <w:footerReference r:id="rId4" w:type="default"/>
          <w:pgSz w:w="11906" w:h="16838"/>
          <w:pgMar w:top="1440" w:right="1797" w:bottom="1440" w:left="1797" w:header="709" w:footer="964" w:gutter="0"/>
          <w:cols w:space="720" w:num="1"/>
          <w:docGrid w:linePitch="360" w:charSpace="0"/>
        </w:sectPr>
      </w:pPr>
    </w:p>
    <w:p>
      <w:pPr>
        <w:widowControl w:val="0"/>
        <w:numPr>
          <w:ilvl w:val="0"/>
          <w:numId w:val="5"/>
        </w:numPr>
        <w:spacing w:line="460" w:lineRule="exact"/>
        <w:jc w:val="both"/>
        <w:rPr>
          <w:rFonts w:hint="eastAsia" w:ascii="楷体_GB2312" w:hAnsi="宋体" w:eastAsia="楷体_GB2312"/>
          <w:sz w:val="21"/>
          <w:szCs w:val="21"/>
        </w:rPr>
      </w:pPr>
      <w:r>
        <w:rPr>
          <w:rFonts w:hint="eastAsia" w:ascii="楷体_GB2312" w:hAnsi="宋体" w:eastAsia="楷体_GB2312"/>
          <w:sz w:val="21"/>
          <w:szCs w:val="21"/>
        </w:rPr>
        <w:t>财务与会计知识的梳理</w:t>
      </w:r>
    </w:p>
    <w:p>
      <w:pPr>
        <w:widowControl w:val="0"/>
        <w:numPr>
          <w:ilvl w:val="1"/>
          <w:numId w:val="5"/>
        </w:numPr>
        <w:spacing w:line="460" w:lineRule="exact"/>
        <w:ind w:hanging="120"/>
        <w:jc w:val="both"/>
        <w:rPr>
          <w:rFonts w:hint="eastAsia" w:ascii="楷体_GB2312" w:hAnsi="宋体" w:eastAsia="楷体_GB2312"/>
          <w:sz w:val="21"/>
          <w:szCs w:val="21"/>
        </w:rPr>
      </w:pPr>
      <w:r>
        <w:rPr>
          <w:rFonts w:hint="eastAsia" w:ascii="楷体_GB2312" w:hAnsi="宋体" w:eastAsia="楷体_GB2312"/>
          <w:sz w:val="21"/>
          <w:szCs w:val="21"/>
        </w:rPr>
        <w:t>财务与会计不一样吗？</w:t>
      </w:r>
    </w:p>
    <w:p>
      <w:pPr>
        <w:widowControl w:val="0"/>
        <w:numPr>
          <w:ilvl w:val="1"/>
          <w:numId w:val="5"/>
        </w:numPr>
        <w:spacing w:line="460" w:lineRule="exact"/>
        <w:ind w:hanging="120"/>
        <w:jc w:val="both"/>
        <w:rPr>
          <w:rFonts w:hint="eastAsia" w:ascii="楷体_GB2312" w:hAnsi="宋体" w:eastAsia="楷体_GB2312"/>
          <w:sz w:val="21"/>
          <w:szCs w:val="21"/>
        </w:rPr>
      </w:pPr>
      <w:r>
        <w:rPr>
          <w:rFonts w:hint="eastAsia" w:ascii="楷体_GB2312" w:hAnsi="宋体" w:eastAsia="楷体_GB2312"/>
          <w:sz w:val="21"/>
          <w:szCs w:val="21"/>
        </w:rPr>
        <w:t>企业有哪些财务活动</w:t>
      </w:r>
    </w:p>
    <w:p>
      <w:pPr>
        <w:widowControl w:val="0"/>
        <w:numPr>
          <w:ilvl w:val="0"/>
          <w:numId w:val="5"/>
        </w:numPr>
        <w:spacing w:line="460" w:lineRule="exact"/>
        <w:jc w:val="both"/>
        <w:rPr>
          <w:rFonts w:hint="eastAsia" w:ascii="楷体_GB2312" w:hAnsi="宋体" w:eastAsia="楷体_GB2312"/>
          <w:sz w:val="21"/>
          <w:szCs w:val="21"/>
        </w:rPr>
      </w:pPr>
      <w:r>
        <w:rPr>
          <w:rFonts w:hint="eastAsia" w:ascii="楷体_GB2312" w:hAnsi="宋体" w:eastAsia="楷体_GB2312"/>
          <w:sz w:val="21"/>
          <w:szCs w:val="21"/>
        </w:rPr>
        <w:t>风险管理</w:t>
      </w:r>
    </w:p>
    <w:p>
      <w:pPr>
        <w:widowControl w:val="0"/>
        <w:numPr>
          <w:ilvl w:val="1"/>
          <w:numId w:val="5"/>
        </w:numPr>
        <w:spacing w:line="460" w:lineRule="exact"/>
        <w:ind w:hanging="120"/>
        <w:jc w:val="both"/>
        <w:rPr>
          <w:rFonts w:hint="eastAsia" w:ascii="楷体_GB2312" w:hAnsi="宋体" w:eastAsia="楷体_GB2312"/>
          <w:sz w:val="21"/>
          <w:szCs w:val="21"/>
        </w:rPr>
      </w:pPr>
      <w:r>
        <w:rPr>
          <w:rFonts w:hint="eastAsia" w:ascii="楷体_GB2312" w:hAnsi="宋体" w:eastAsia="楷体_GB2312"/>
          <w:sz w:val="21"/>
          <w:szCs w:val="21"/>
        </w:rPr>
        <w:t>经营风险</w:t>
      </w:r>
    </w:p>
    <w:p>
      <w:pPr>
        <w:widowControl w:val="0"/>
        <w:numPr>
          <w:ilvl w:val="1"/>
          <w:numId w:val="5"/>
        </w:numPr>
        <w:spacing w:line="460" w:lineRule="exact"/>
        <w:ind w:hanging="120"/>
        <w:jc w:val="both"/>
        <w:rPr>
          <w:rFonts w:hint="eastAsia" w:ascii="楷体_GB2312" w:hAnsi="宋体" w:eastAsia="楷体_GB2312"/>
          <w:sz w:val="21"/>
          <w:szCs w:val="21"/>
        </w:rPr>
      </w:pPr>
      <w:r>
        <w:rPr>
          <w:rFonts w:hint="eastAsia" w:ascii="楷体_GB2312" w:hAnsi="宋体" w:eastAsia="楷体_GB2312"/>
          <w:sz w:val="21"/>
          <w:szCs w:val="21"/>
        </w:rPr>
        <w:t>财务风险</w:t>
      </w:r>
    </w:p>
    <w:p>
      <w:pPr>
        <w:widowControl w:val="0"/>
        <w:numPr>
          <w:ilvl w:val="1"/>
          <w:numId w:val="5"/>
        </w:numPr>
        <w:spacing w:line="460" w:lineRule="exact"/>
        <w:ind w:hanging="120"/>
        <w:jc w:val="both"/>
        <w:rPr>
          <w:rFonts w:hint="eastAsia" w:ascii="楷体_GB2312" w:hAnsi="宋体" w:eastAsia="楷体_GB2312"/>
          <w:sz w:val="21"/>
          <w:szCs w:val="21"/>
        </w:rPr>
      </w:pPr>
      <w:r>
        <w:rPr>
          <w:rFonts w:hint="eastAsia" w:ascii="楷体_GB2312" w:hAnsi="宋体" w:eastAsia="楷体_GB2312"/>
          <w:sz w:val="21"/>
          <w:szCs w:val="21"/>
        </w:rPr>
        <w:t>投资风险</w:t>
      </w:r>
    </w:p>
    <w:p>
      <w:pPr>
        <w:widowControl w:val="0"/>
        <w:numPr>
          <w:ilvl w:val="1"/>
          <w:numId w:val="5"/>
        </w:numPr>
        <w:spacing w:line="460" w:lineRule="exact"/>
        <w:ind w:hanging="120"/>
        <w:jc w:val="both"/>
        <w:rPr>
          <w:rFonts w:hint="eastAsia" w:ascii="楷体_GB2312" w:hAnsi="宋体" w:eastAsia="楷体_GB2312"/>
          <w:sz w:val="21"/>
          <w:szCs w:val="21"/>
        </w:rPr>
      </w:pPr>
      <w:r>
        <w:rPr>
          <w:rFonts w:hint="eastAsia" w:ascii="楷体_GB2312" w:hAnsi="宋体" w:eastAsia="楷体_GB2312"/>
          <w:sz w:val="21"/>
          <w:szCs w:val="21"/>
        </w:rPr>
        <w:t>融资风险</w:t>
      </w:r>
    </w:p>
    <w:p>
      <w:pPr>
        <w:widowControl w:val="0"/>
        <w:numPr>
          <w:ilvl w:val="0"/>
          <w:numId w:val="5"/>
        </w:numPr>
        <w:spacing w:line="460" w:lineRule="exact"/>
        <w:jc w:val="both"/>
        <w:rPr>
          <w:rFonts w:hint="eastAsia" w:ascii="楷体_GB2312" w:hAnsi="宋体" w:eastAsia="楷体_GB2312"/>
          <w:sz w:val="21"/>
          <w:szCs w:val="21"/>
        </w:rPr>
      </w:pPr>
      <w:r>
        <w:rPr>
          <w:rFonts w:hint="eastAsia" w:ascii="楷体_GB2312" w:hAnsi="宋体" w:eastAsia="楷体_GB2312"/>
          <w:sz w:val="21"/>
          <w:szCs w:val="21"/>
        </w:rPr>
        <w:t>报表认识与分析</w:t>
      </w:r>
    </w:p>
    <w:p>
      <w:pPr>
        <w:widowControl w:val="0"/>
        <w:numPr>
          <w:ilvl w:val="1"/>
          <w:numId w:val="5"/>
        </w:numPr>
        <w:spacing w:line="460" w:lineRule="exact"/>
        <w:ind w:hanging="120"/>
        <w:jc w:val="both"/>
        <w:rPr>
          <w:rFonts w:hint="eastAsia" w:ascii="楷体_GB2312" w:hAnsi="宋体" w:eastAsia="楷体_GB2312"/>
          <w:sz w:val="21"/>
          <w:szCs w:val="21"/>
        </w:rPr>
      </w:pPr>
      <w:r>
        <w:rPr>
          <w:rFonts w:hint="eastAsia" w:ascii="楷体_GB2312" w:hAnsi="宋体" w:eastAsia="楷体_GB2312"/>
          <w:sz w:val="21"/>
          <w:szCs w:val="21"/>
        </w:rPr>
        <w:t>记录家底的天平 – 资产负债表</w:t>
      </w:r>
    </w:p>
    <w:p>
      <w:pPr>
        <w:widowControl w:val="0"/>
        <w:numPr>
          <w:ilvl w:val="1"/>
          <w:numId w:val="5"/>
        </w:numPr>
        <w:spacing w:line="460" w:lineRule="exact"/>
        <w:ind w:hanging="120"/>
        <w:jc w:val="both"/>
        <w:rPr>
          <w:rFonts w:hint="eastAsia" w:ascii="楷体_GB2312" w:hAnsi="宋体" w:eastAsia="楷体_GB2312"/>
          <w:sz w:val="21"/>
          <w:szCs w:val="21"/>
        </w:rPr>
      </w:pPr>
      <w:r>
        <w:rPr>
          <w:rFonts w:hint="eastAsia" w:ascii="楷体_GB2312" w:hAnsi="宋体" w:eastAsia="楷体_GB2312"/>
          <w:sz w:val="21"/>
          <w:szCs w:val="21"/>
        </w:rPr>
        <w:t>辛劳得到什么 – 利润表</w:t>
      </w:r>
    </w:p>
    <w:p>
      <w:pPr>
        <w:widowControl w:val="0"/>
        <w:numPr>
          <w:ilvl w:val="1"/>
          <w:numId w:val="5"/>
        </w:numPr>
        <w:spacing w:line="460" w:lineRule="exact"/>
        <w:ind w:hanging="120"/>
        <w:jc w:val="both"/>
        <w:rPr>
          <w:rFonts w:hint="eastAsia" w:ascii="楷体_GB2312" w:hAnsi="宋体" w:eastAsia="楷体_GB2312"/>
          <w:sz w:val="21"/>
          <w:szCs w:val="21"/>
        </w:rPr>
      </w:pPr>
      <w:r>
        <w:rPr>
          <w:rFonts w:hint="eastAsia" w:ascii="楷体_GB2312" w:hAnsi="宋体" w:eastAsia="楷体_GB2312"/>
          <w:sz w:val="21"/>
          <w:szCs w:val="21"/>
        </w:rPr>
        <w:t>现金至尊 – 现金流量表</w:t>
      </w:r>
    </w:p>
    <w:p>
      <w:pPr>
        <w:widowControl w:val="0"/>
        <w:numPr>
          <w:ilvl w:val="0"/>
          <w:numId w:val="5"/>
        </w:numPr>
        <w:spacing w:line="460" w:lineRule="exact"/>
        <w:jc w:val="both"/>
        <w:rPr>
          <w:rFonts w:hint="eastAsia" w:ascii="楷体_GB2312" w:hAnsi="宋体" w:eastAsia="楷体_GB2312"/>
          <w:sz w:val="21"/>
          <w:szCs w:val="21"/>
        </w:rPr>
      </w:pPr>
      <w:r>
        <w:rPr>
          <w:rFonts w:hint="eastAsia" w:ascii="楷体_GB2312" w:hAnsi="宋体" w:eastAsia="楷体_GB2312"/>
          <w:sz w:val="21"/>
          <w:szCs w:val="21"/>
        </w:rPr>
        <w:t>比例分析</w:t>
      </w:r>
    </w:p>
    <w:p>
      <w:pPr>
        <w:widowControl w:val="0"/>
        <w:numPr>
          <w:ilvl w:val="1"/>
          <w:numId w:val="5"/>
        </w:numPr>
        <w:spacing w:line="460" w:lineRule="exact"/>
        <w:ind w:hanging="120"/>
        <w:jc w:val="both"/>
        <w:rPr>
          <w:rFonts w:hint="eastAsia" w:ascii="楷体_GB2312" w:hAnsi="宋体" w:eastAsia="楷体_GB2312"/>
          <w:sz w:val="21"/>
          <w:szCs w:val="21"/>
        </w:rPr>
      </w:pPr>
      <w:r>
        <w:rPr>
          <w:rFonts w:hint="eastAsia" w:ascii="楷体_GB2312" w:hAnsi="宋体" w:eastAsia="楷体_GB2312"/>
          <w:sz w:val="21"/>
          <w:szCs w:val="21"/>
        </w:rPr>
        <w:t>财务报表分析工具</w:t>
      </w:r>
    </w:p>
    <w:p>
      <w:pPr>
        <w:widowControl w:val="0"/>
        <w:numPr>
          <w:ilvl w:val="1"/>
          <w:numId w:val="5"/>
        </w:numPr>
        <w:spacing w:line="460" w:lineRule="exact"/>
        <w:ind w:hanging="120"/>
        <w:jc w:val="both"/>
        <w:rPr>
          <w:rFonts w:hint="eastAsia" w:ascii="楷体_GB2312" w:hAnsi="宋体" w:eastAsia="楷体_GB2312"/>
          <w:sz w:val="21"/>
          <w:szCs w:val="21"/>
        </w:rPr>
      </w:pPr>
      <w:r>
        <w:rPr>
          <w:rFonts w:hint="eastAsia" w:ascii="楷体_GB2312" w:hAnsi="宋体" w:eastAsia="楷体_GB2312"/>
          <w:sz w:val="21"/>
          <w:szCs w:val="21"/>
        </w:rPr>
        <w:t>六类关键财务指标解析</w:t>
      </w:r>
    </w:p>
    <w:p>
      <w:pPr>
        <w:widowControl w:val="0"/>
        <w:numPr>
          <w:ilvl w:val="1"/>
          <w:numId w:val="5"/>
        </w:numPr>
        <w:spacing w:line="460" w:lineRule="exact"/>
        <w:ind w:hanging="120"/>
        <w:jc w:val="both"/>
        <w:rPr>
          <w:rFonts w:hint="eastAsia" w:ascii="楷体_GB2312" w:hAnsi="宋体" w:eastAsia="楷体_GB2312"/>
          <w:sz w:val="21"/>
          <w:szCs w:val="21"/>
        </w:rPr>
      </w:pPr>
      <w:r>
        <w:rPr>
          <w:rFonts w:hint="eastAsia" w:ascii="楷体_GB2312" w:hAnsi="宋体" w:eastAsia="楷体_GB2312"/>
          <w:sz w:val="21"/>
          <w:szCs w:val="21"/>
        </w:rPr>
        <w:t>财务综合分析 - 杜邦分析</w:t>
      </w:r>
    </w:p>
    <w:p>
      <w:pPr>
        <w:widowControl w:val="0"/>
        <w:numPr>
          <w:ilvl w:val="1"/>
          <w:numId w:val="5"/>
        </w:numPr>
        <w:spacing w:line="460" w:lineRule="exact"/>
        <w:ind w:hanging="120"/>
        <w:jc w:val="both"/>
        <w:rPr>
          <w:rFonts w:hint="eastAsia" w:ascii="楷体_GB2312" w:hAnsi="宋体" w:eastAsia="楷体_GB2312"/>
          <w:sz w:val="21"/>
          <w:szCs w:val="21"/>
        </w:rPr>
      </w:pPr>
      <w:r>
        <w:rPr>
          <w:rFonts w:hint="eastAsia" w:ascii="楷体_GB2312" w:hAnsi="宋体" w:eastAsia="楷体_GB2312"/>
          <w:sz w:val="21"/>
          <w:szCs w:val="21"/>
        </w:rPr>
        <w:t xml:space="preserve">盈利质量分析 </w:t>
      </w:r>
      <w:r>
        <w:rPr>
          <w:rFonts w:hint="eastAsia" w:ascii="楷体_GB2312" w:hAnsi="宋体" w:eastAsia="楷体_GB2312" w:cs="宋体"/>
          <w:sz w:val="21"/>
          <w:szCs w:val="21"/>
        </w:rPr>
        <w:t>-</w:t>
      </w:r>
      <w:r>
        <w:rPr>
          <w:rFonts w:hint="eastAsia" w:ascii="楷体_GB2312" w:hAnsi="宋体" w:eastAsia="楷体_GB2312"/>
          <w:sz w:val="21"/>
          <w:szCs w:val="21"/>
        </w:rPr>
        <w:t xml:space="preserve"> 收入多一元，净利是否增加一元？</w:t>
      </w:r>
    </w:p>
    <w:p>
      <w:pPr>
        <w:widowControl w:val="0"/>
        <w:numPr>
          <w:ilvl w:val="1"/>
          <w:numId w:val="5"/>
        </w:numPr>
        <w:spacing w:line="460" w:lineRule="exact"/>
        <w:ind w:hanging="120"/>
        <w:jc w:val="both"/>
        <w:rPr>
          <w:rFonts w:hint="eastAsia" w:ascii="楷体_GB2312" w:hAnsi="宋体" w:eastAsia="楷体_GB2312"/>
          <w:sz w:val="21"/>
          <w:szCs w:val="21"/>
        </w:rPr>
      </w:pPr>
      <w:r>
        <w:rPr>
          <w:rFonts w:hint="eastAsia" w:ascii="楷体_GB2312" w:hAnsi="宋体" w:eastAsia="楷体_GB2312"/>
          <w:sz w:val="21"/>
          <w:szCs w:val="21"/>
        </w:rPr>
        <w:t>营运资本分析 - 了解融资客户的资金运用效率，提升风险控制</w:t>
      </w:r>
    </w:p>
    <w:p>
      <w:pPr>
        <w:widowControl w:val="0"/>
        <w:numPr>
          <w:ilvl w:val="1"/>
          <w:numId w:val="5"/>
        </w:numPr>
        <w:spacing w:line="460" w:lineRule="exact"/>
        <w:ind w:hanging="120"/>
        <w:jc w:val="both"/>
        <w:rPr>
          <w:rFonts w:hint="eastAsia" w:ascii="楷体_GB2312" w:hAnsi="宋体" w:eastAsia="楷体_GB2312"/>
          <w:sz w:val="21"/>
          <w:szCs w:val="21"/>
        </w:rPr>
      </w:pPr>
      <w:r>
        <w:rPr>
          <w:rFonts w:hint="eastAsia" w:ascii="楷体_GB2312" w:hAnsi="宋体" w:eastAsia="楷体_GB2312"/>
          <w:sz w:val="21"/>
          <w:szCs w:val="21"/>
        </w:rPr>
        <w:t>现金流量分析</w:t>
      </w:r>
    </w:p>
    <w:p>
      <w:pPr>
        <w:widowControl w:val="0"/>
        <w:numPr>
          <w:ilvl w:val="0"/>
          <w:numId w:val="5"/>
        </w:numPr>
        <w:spacing w:line="460" w:lineRule="exact"/>
        <w:jc w:val="both"/>
        <w:rPr>
          <w:rFonts w:hint="eastAsia" w:ascii="楷体_GB2312" w:hAnsi="宋体" w:eastAsia="楷体_GB2312"/>
          <w:sz w:val="21"/>
          <w:szCs w:val="21"/>
        </w:rPr>
      </w:pPr>
      <w:r>
        <w:rPr>
          <w:rFonts w:hint="eastAsia" w:ascii="楷体_GB2312" w:hAnsi="宋体" w:eastAsia="楷体_GB2312"/>
          <w:sz w:val="21"/>
          <w:szCs w:val="21"/>
        </w:rPr>
        <w:t>同业比较</w:t>
      </w:r>
    </w:p>
    <w:p>
      <w:pPr>
        <w:widowControl w:val="0"/>
        <w:numPr>
          <w:ilvl w:val="1"/>
          <w:numId w:val="5"/>
        </w:numPr>
        <w:spacing w:line="460" w:lineRule="exact"/>
        <w:ind w:hanging="120"/>
        <w:jc w:val="both"/>
        <w:rPr>
          <w:rFonts w:hint="eastAsia" w:ascii="楷体_GB2312" w:hAnsi="宋体" w:eastAsia="楷体_GB2312"/>
          <w:sz w:val="21"/>
          <w:szCs w:val="21"/>
        </w:rPr>
      </w:pPr>
      <w:r>
        <w:rPr>
          <w:rFonts w:hint="eastAsia" w:ascii="楷体_GB2312" w:hAnsi="宋体" w:eastAsia="楷体_GB2312"/>
          <w:sz w:val="21"/>
          <w:szCs w:val="21"/>
        </w:rPr>
        <w:t>根据各行业，进行六类关键财务指分析。</w:t>
      </w:r>
    </w:p>
    <w:p>
      <w:pPr>
        <w:widowControl w:val="0"/>
        <w:numPr>
          <w:ilvl w:val="1"/>
          <w:numId w:val="5"/>
        </w:numPr>
        <w:spacing w:line="460" w:lineRule="exact"/>
        <w:ind w:hanging="120"/>
        <w:jc w:val="both"/>
        <w:rPr>
          <w:rFonts w:hint="eastAsia" w:ascii="楷体_GB2312" w:hAnsi="宋体" w:eastAsia="楷体_GB2312"/>
          <w:sz w:val="21"/>
          <w:szCs w:val="21"/>
        </w:rPr>
      </w:pPr>
      <w:r>
        <w:rPr>
          <w:rFonts w:hint="eastAsia" w:ascii="楷体_GB2312" w:hAnsi="宋体" w:eastAsia="楷体_GB2312"/>
          <w:sz w:val="21"/>
          <w:szCs w:val="21"/>
        </w:rPr>
        <w:t>进行同业比较。</w:t>
      </w:r>
    </w:p>
    <w:p>
      <w:pPr>
        <w:widowControl w:val="0"/>
        <w:numPr>
          <w:ilvl w:val="0"/>
          <w:numId w:val="5"/>
        </w:numPr>
        <w:spacing w:line="460" w:lineRule="exact"/>
        <w:jc w:val="both"/>
        <w:rPr>
          <w:rFonts w:hint="eastAsia" w:ascii="楷体_GB2312" w:hAnsi="宋体" w:eastAsia="楷体_GB2312"/>
          <w:sz w:val="21"/>
          <w:szCs w:val="21"/>
        </w:rPr>
      </w:pPr>
      <w:r>
        <w:rPr>
          <w:rFonts w:hint="eastAsia" w:ascii="楷体_GB2312" w:hAnsi="宋体" w:eastAsia="楷体_GB2312"/>
          <w:sz w:val="21"/>
          <w:szCs w:val="21"/>
        </w:rPr>
        <w:t>财务报表粉饰识别与预警</w:t>
      </w:r>
    </w:p>
    <w:p>
      <w:pPr>
        <w:widowControl w:val="0"/>
        <w:numPr>
          <w:ilvl w:val="1"/>
          <w:numId w:val="5"/>
        </w:numPr>
        <w:spacing w:line="460" w:lineRule="exact"/>
        <w:ind w:hanging="120"/>
        <w:jc w:val="both"/>
        <w:rPr>
          <w:rFonts w:hint="eastAsia" w:ascii="楷体_GB2312" w:hAnsi="宋体" w:eastAsia="楷体_GB2312"/>
          <w:sz w:val="21"/>
          <w:szCs w:val="21"/>
        </w:rPr>
      </w:pPr>
      <w:r>
        <w:rPr>
          <w:rFonts w:hint="eastAsia" w:ascii="楷体_GB2312" w:hAnsi="宋体" w:eastAsia="楷体_GB2312"/>
          <w:sz w:val="21"/>
          <w:szCs w:val="21"/>
        </w:rPr>
        <w:t>财务报表粉饰动机</w:t>
      </w:r>
    </w:p>
    <w:p>
      <w:pPr>
        <w:widowControl w:val="0"/>
        <w:numPr>
          <w:ilvl w:val="1"/>
          <w:numId w:val="5"/>
        </w:numPr>
        <w:spacing w:line="460" w:lineRule="exact"/>
        <w:ind w:hanging="120"/>
        <w:jc w:val="both"/>
        <w:rPr>
          <w:rFonts w:hint="eastAsia" w:ascii="楷体_GB2312" w:hAnsi="宋体" w:eastAsia="楷体_GB2312"/>
          <w:sz w:val="21"/>
          <w:szCs w:val="21"/>
        </w:rPr>
      </w:pPr>
      <w:r>
        <w:rPr>
          <w:rFonts w:hint="eastAsia" w:ascii="楷体_GB2312" w:hAnsi="宋体" w:eastAsia="楷体_GB2312"/>
          <w:sz w:val="21"/>
          <w:szCs w:val="21"/>
        </w:rPr>
        <w:t>财务报表粉饰方法</w:t>
      </w:r>
    </w:p>
    <w:p>
      <w:pPr>
        <w:widowControl w:val="0"/>
        <w:numPr>
          <w:ilvl w:val="1"/>
          <w:numId w:val="5"/>
        </w:numPr>
        <w:spacing w:line="460" w:lineRule="exact"/>
        <w:ind w:hanging="120"/>
        <w:jc w:val="both"/>
        <w:rPr>
          <w:rFonts w:hint="eastAsia" w:ascii="楷体_GB2312" w:hAnsi="宋体" w:eastAsia="楷体_GB2312"/>
          <w:sz w:val="21"/>
          <w:szCs w:val="21"/>
        </w:rPr>
      </w:pPr>
      <w:r>
        <w:rPr>
          <w:rFonts w:hint="eastAsia" w:ascii="楷体_GB2312" w:hAnsi="宋体" w:eastAsia="楷体_GB2312"/>
          <w:sz w:val="21"/>
          <w:szCs w:val="21"/>
        </w:rPr>
        <w:t>财务报表粉饰识别方法</w:t>
      </w:r>
    </w:p>
    <w:p>
      <w:pPr>
        <w:widowControl w:val="0"/>
        <w:numPr>
          <w:ilvl w:val="0"/>
          <w:numId w:val="5"/>
        </w:numPr>
        <w:spacing w:line="460" w:lineRule="exact"/>
        <w:jc w:val="both"/>
        <w:rPr>
          <w:rFonts w:hint="eastAsia" w:ascii="楷体_GB2312" w:eastAsia="楷体_GB2312"/>
          <w:sz w:val="21"/>
          <w:szCs w:val="21"/>
        </w:rPr>
      </w:pPr>
      <w:r>
        <w:rPr>
          <w:rFonts w:hint="eastAsia" w:ascii="楷体_GB2312" w:hAnsi="宋体" w:eastAsia="楷体_GB2312"/>
          <w:sz w:val="21"/>
          <w:szCs w:val="21"/>
        </w:rPr>
        <w:t>审计能力提升</w:t>
      </w:r>
    </w:p>
    <w:p>
      <w:pPr>
        <w:widowControl w:val="0"/>
        <w:numPr>
          <w:ilvl w:val="1"/>
          <w:numId w:val="5"/>
        </w:numPr>
        <w:spacing w:line="460" w:lineRule="exact"/>
        <w:ind w:hanging="120"/>
        <w:jc w:val="both"/>
        <w:rPr>
          <w:rFonts w:hint="eastAsia" w:ascii="楷体_GB2312" w:eastAsia="楷体_GB2312"/>
          <w:sz w:val="21"/>
          <w:szCs w:val="21"/>
        </w:rPr>
      </w:pPr>
      <w:r>
        <w:rPr>
          <w:rFonts w:hint="eastAsia" w:ascii="楷体_GB2312" w:eastAsia="楷体_GB2312"/>
          <w:sz w:val="21"/>
          <w:szCs w:val="21"/>
        </w:rPr>
        <w:t>差错与舞弊的差别</w:t>
      </w:r>
    </w:p>
    <w:p>
      <w:pPr>
        <w:widowControl w:val="0"/>
        <w:numPr>
          <w:ilvl w:val="1"/>
          <w:numId w:val="5"/>
        </w:numPr>
        <w:spacing w:line="460" w:lineRule="exact"/>
        <w:ind w:hanging="120"/>
        <w:jc w:val="both"/>
        <w:rPr>
          <w:rFonts w:hint="eastAsia" w:ascii="楷体_GB2312" w:eastAsia="楷体_GB2312"/>
          <w:sz w:val="21"/>
          <w:szCs w:val="21"/>
        </w:rPr>
      </w:pPr>
      <w:r>
        <w:rPr>
          <w:rFonts w:hint="eastAsia" w:ascii="楷体_GB2312" w:eastAsia="楷体_GB2312"/>
          <w:sz w:val="21"/>
          <w:szCs w:val="21"/>
        </w:rPr>
        <w:t>查帐采用的基本方法</w:t>
      </w:r>
    </w:p>
    <w:p>
      <w:pPr>
        <w:widowControl w:val="0"/>
        <w:numPr>
          <w:ilvl w:val="1"/>
          <w:numId w:val="5"/>
        </w:numPr>
        <w:spacing w:line="460" w:lineRule="exact"/>
        <w:ind w:hanging="120"/>
        <w:jc w:val="both"/>
        <w:rPr>
          <w:rFonts w:hint="eastAsia" w:ascii="楷体_GB2312" w:eastAsia="楷体_GB2312"/>
          <w:sz w:val="21"/>
          <w:szCs w:val="21"/>
        </w:rPr>
      </w:pPr>
      <w:r>
        <w:rPr>
          <w:rFonts w:hint="eastAsia" w:ascii="楷体_GB2312" w:eastAsia="楷体_GB2312"/>
          <w:sz w:val="21"/>
          <w:szCs w:val="21"/>
        </w:rPr>
        <w:t>查帐常用的技术 – 审阅法与核对法</w:t>
      </w:r>
    </w:p>
    <w:p>
      <w:pPr>
        <w:widowControl w:val="0"/>
        <w:numPr>
          <w:ilvl w:val="1"/>
          <w:numId w:val="5"/>
        </w:numPr>
        <w:spacing w:line="460" w:lineRule="exact"/>
        <w:ind w:hanging="120"/>
        <w:jc w:val="both"/>
        <w:rPr>
          <w:rFonts w:hint="eastAsia" w:ascii="楷体_GB2312" w:eastAsia="楷体_GB2312"/>
          <w:sz w:val="21"/>
          <w:szCs w:val="21"/>
        </w:rPr>
      </w:pPr>
      <w:r>
        <w:rPr>
          <w:rFonts w:hint="eastAsia" w:ascii="楷体_GB2312" w:eastAsia="楷体_GB2312"/>
          <w:sz w:val="21"/>
          <w:szCs w:val="21"/>
        </w:rPr>
        <w:t>查帐常用的技巧 – 疑点突破法和询问调查法</w:t>
      </w:r>
    </w:p>
    <w:p>
      <w:pPr>
        <w:widowControl w:val="0"/>
        <w:numPr>
          <w:ilvl w:val="1"/>
          <w:numId w:val="5"/>
        </w:numPr>
        <w:spacing w:line="460" w:lineRule="exact"/>
        <w:ind w:hanging="120"/>
        <w:jc w:val="both"/>
        <w:rPr>
          <w:rFonts w:hint="eastAsia" w:ascii="楷体_GB2312" w:eastAsia="楷体_GB2312"/>
          <w:sz w:val="21"/>
          <w:szCs w:val="21"/>
        </w:rPr>
      </w:pPr>
      <w:r>
        <w:rPr>
          <w:rFonts w:hint="eastAsia" w:ascii="楷体_GB2312" w:eastAsia="楷体_GB2312"/>
          <w:sz w:val="21"/>
          <w:szCs w:val="21"/>
        </w:rPr>
        <w:t>逻辑分析法</w:t>
      </w:r>
    </w:p>
    <w:p>
      <w:pPr>
        <w:pStyle w:val="5"/>
        <w:spacing w:before="75" w:beforeAutospacing="0" w:after="0" w:afterAutospacing="0" w:line="375" w:lineRule="atLeast"/>
        <w:rPr>
          <w:rFonts w:eastAsia="宋体"/>
          <w:color w:val="333333"/>
          <w:sz w:val="21"/>
          <w:szCs w:val="21"/>
          <w:lang w:eastAsia="zh-CN"/>
        </w:rPr>
        <w:sectPr>
          <w:type w:val="continuous"/>
          <w:pgSz w:w="11906" w:h="16838"/>
          <w:pgMar w:top="1440" w:right="1797" w:bottom="1440" w:left="1797" w:header="709" w:footer="964" w:gutter="0"/>
          <w:cols w:space="425" w:num="2" w:sep="1"/>
          <w:docGrid w:linePitch="360" w:charSpace="0"/>
        </w:sectPr>
      </w:pP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  <w:rPr>
        <w:rFonts w:hint="eastAsia"/>
      </w:rPr>
    </w:pPr>
    <w:r>
      <w:rPr>
        <w:rFonts w:hint="eastAsia"/>
        <w:szCs w:val="21"/>
      </w:rPr>
      <w:t xml:space="preserve">                                              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6" w:space="0"/>
      </w:pBdr>
      <w:jc w:val="right"/>
      <w:rPr>
        <w:rFonts w:hint="eastAsia" w:ascii="宋体" w:hAnsi="宋体"/>
      </w:rPr>
    </w:pPr>
    <w:r>
      <w:rPr>
        <w:rFonts w:hint="eastAsia" w:ascii="宋体" w:hAnsi="宋体"/>
      </w:rPr>
      <w:t>李贵霖（昭瑢）博士金融系统培训课程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BC4A6B"/>
    <w:multiLevelType w:val="multilevel"/>
    <w:tmpl w:val="1ABC4A6B"/>
    <w:lvl w:ilvl="0" w:tentative="0">
      <w:start w:val="1"/>
      <w:numFmt w:val="japaneseCounting"/>
      <w:lvlText w:val="%1、"/>
      <w:lvlJc w:val="left"/>
      <w:pPr>
        <w:tabs>
          <w:tab w:val="left" w:pos="885"/>
        </w:tabs>
        <w:ind w:left="885" w:hanging="88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056"/>
        </w:tabs>
        <w:ind w:left="1056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476"/>
        </w:tabs>
        <w:ind w:left="1476" w:hanging="420"/>
      </w:pPr>
    </w:lvl>
    <w:lvl w:ilvl="3" w:tentative="0">
      <w:start w:val="1"/>
      <w:numFmt w:val="decimal"/>
      <w:lvlText w:val="%4."/>
      <w:lvlJc w:val="left"/>
      <w:pPr>
        <w:tabs>
          <w:tab w:val="left" w:pos="1896"/>
        </w:tabs>
        <w:ind w:left="1896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16"/>
        </w:tabs>
        <w:ind w:left="2316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36"/>
        </w:tabs>
        <w:ind w:left="2736" w:hanging="420"/>
      </w:pPr>
    </w:lvl>
    <w:lvl w:ilvl="6" w:tentative="0">
      <w:start w:val="1"/>
      <w:numFmt w:val="decimal"/>
      <w:lvlText w:val="%7."/>
      <w:lvlJc w:val="left"/>
      <w:pPr>
        <w:tabs>
          <w:tab w:val="left" w:pos="3156"/>
        </w:tabs>
        <w:ind w:left="3156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76"/>
        </w:tabs>
        <w:ind w:left="3576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96"/>
        </w:tabs>
        <w:ind w:left="3996" w:hanging="420"/>
      </w:pPr>
    </w:lvl>
  </w:abstractNum>
  <w:abstractNum w:abstractNumId="1">
    <w:nsid w:val="1C8F44A7"/>
    <w:multiLevelType w:val="multilevel"/>
    <w:tmpl w:val="1C8F44A7"/>
    <w:lvl w:ilvl="0" w:tentative="0">
      <w:start w:val="1"/>
      <w:numFmt w:val="decimal"/>
      <w:lvlText w:val="%1."/>
      <w:lvlJc w:val="left"/>
      <w:pPr>
        <w:tabs>
          <w:tab w:val="left" w:pos="1690"/>
        </w:tabs>
        <w:ind w:left="169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50"/>
        </w:tabs>
        <w:ind w:left="85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70"/>
        </w:tabs>
        <w:ind w:left="127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90"/>
        </w:tabs>
        <w:ind w:left="169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10"/>
        </w:tabs>
        <w:ind w:left="211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30"/>
        </w:tabs>
        <w:ind w:left="253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50"/>
        </w:tabs>
        <w:ind w:left="295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70"/>
        </w:tabs>
        <w:ind w:left="337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90"/>
        </w:tabs>
        <w:ind w:left="3790" w:hanging="420"/>
      </w:pPr>
    </w:lvl>
  </w:abstractNum>
  <w:abstractNum w:abstractNumId="2">
    <w:nsid w:val="1F98415A"/>
    <w:multiLevelType w:val="multilevel"/>
    <w:tmpl w:val="1F98415A"/>
    <w:lvl w:ilvl="0" w:tentative="0">
      <w:start w:val="1"/>
      <w:numFmt w:val="ideographDigital"/>
      <w:lvlText w:val="%1.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4B06636C"/>
    <w:multiLevelType w:val="singleLevel"/>
    <w:tmpl w:val="4B06636C"/>
    <w:lvl w:ilvl="0" w:tentative="0">
      <w:start w:val="1"/>
      <w:numFmt w:val="decimal"/>
      <w:lvlText w:val="%1."/>
      <w:lvlJc w:val="left"/>
      <w:pPr>
        <w:tabs>
          <w:tab w:val="left" w:pos="560"/>
        </w:tabs>
        <w:ind w:left="560" w:hanging="135"/>
      </w:pPr>
      <w:rPr>
        <w:rFonts w:hint="eastAsia"/>
      </w:rPr>
    </w:lvl>
  </w:abstractNum>
  <w:abstractNum w:abstractNumId="4">
    <w:nsid w:val="4C08113E"/>
    <w:multiLevelType w:val="singleLevel"/>
    <w:tmpl w:val="4C08113E"/>
    <w:lvl w:ilvl="0" w:tentative="0">
      <w:start w:val="1"/>
      <w:numFmt w:val="bullet"/>
      <w:lvlText w:val="·"/>
      <w:lvlJc w:val="left"/>
      <w:pPr>
        <w:tabs>
          <w:tab w:val="left" w:pos="425"/>
        </w:tabs>
        <w:ind w:left="425" w:hanging="425"/>
      </w:pPr>
      <w:rPr>
        <w:rFonts w:hint="eastAsia" w:ascii="宋体" w:hAnsi="Wingdings" w:eastAsia="宋体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B43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="100" w:beforeAutospacing="1" w:after="100" w:afterAutospacing="1"/>
    </w:pPr>
    <w:rPr>
      <w:rFonts w:ascii="Arial Unicode MS" w:hAnsi="Arial Unicode MS" w:eastAsia="Arial Unicode MS" w:cs="Arial Unicode MS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2021-08-05T03:52:03Z</dcterms:created>
  <dc:creator>shizi06</dc:creator>
  <cp:lastModifiedBy>蓉儿</cp:lastModifiedBy>
  <dcterms:modified xsi:type="dcterms:W3CDTF">2021-08-05T03:52:17Z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4DF3481A9B004199AC331B6425397E8F</vt:lpwstr>
  </property>
</Properties>
</file>