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1"/>
        </w:numPr>
        <w:spacing w:after="240"/>
        <w:jc w:val="both"/>
        <w:rPr>
          <w:rFonts w:hint="eastAsia" w:ascii="宋体" w:hAnsi="宋体"/>
          <w:i w:val="0"/>
          <w:color w:val="000080"/>
          <w:sz w:val="44"/>
          <w:szCs w:val="44"/>
        </w:rPr>
      </w:pPr>
      <w:bookmarkStart w:id="0" w:name="_Toc351048330"/>
      <w:bookmarkStart w:id="1" w:name="_Toc351046164"/>
      <w:r>
        <w:rPr>
          <w:rFonts w:ascii="宋体" w:hAnsi="宋体"/>
          <w:i w:val="0"/>
          <w:color w:val="000080"/>
          <w:sz w:val="44"/>
          <w:szCs w:val="44"/>
        </w:rPr>
        <w:t>基于银行对公金融产品组合的营销方案的设计与呈现技巧</w:t>
      </w:r>
      <w:bookmarkEnd w:id="0"/>
      <w:bookmarkEnd w:id="1"/>
    </w:p>
    <w:p>
      <w:pPr>
        <w:rPr>
          <w:rFonts w:hint="eastAsia"/>
        </w:rPr>
      </w:pPr>
    </w:p>
    <w:p>
      <w:pPr>
        <w:pStyle w:val="5"/>
        <w:spacing w:before="0" w:beforeAutospacing="0" w:after="0" w:afterAutospacing="0" w:line="400" w:lineRule="exact"/>
        <w:ind w:firstLine="420"/>
        <w:rPr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研究分析数据显示，企业客户使用银行的产品数量与客户流失率成反比：客户使用银行一种金融产品，流失率为92%；使用两种金融产品，流失率为82%；使用三种金融产品，流失率为72%；使用四种金融产品，流失率为62%；而使用五种金融产品，流失率仅为12%。如何实现产品创新，并以丰富的产品进行有机组合和综合设计，为客户提供一站式的金融解决方案，以不断提升客户的依赖度和忠诚度，是我国商业银行在产品创新及客户服务过程中面临的主要问题核心。</w:t>
      </w:r>
    </w:p>
    <w:p>
      <w:pPr>
        <w:pStyle w:val="5"/>
        <w:spacing w:before="0" w:beforeAutospacing="0" w:after="0" w:afterAutospacing="0" w:line="400" w:lineRule="exact"/>
        <w:ind w:firstLine="420"/>
        <w:rPr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近年来，随着市场准入逐步放松，外资银行的大量涌入，国内商业银行产品创新空前活跃，新的产品层出不穷，给市场竞争注入了新鲜的血液和活力。但是必须看到，由于我国商业银行的经营与服务具有同质性和易模仿性，导致产品、服务及价格的差异很小，产品的可持续竞争力非常有限，进而导致存量客户的流失和市场份额的不断下降。积极开展产品创新，不断提供市场所需的各种满足客户需求的金融产品，直接关系到银行生存、发展及其自身在同业中的地位。</w:t>
      </w:r>
    </w:p>
    <w:p>
      <w:pPr>
        <w:pStyle w:val="5"/>
        <w:spacing w:before="0" w:beforeAutospacing="0" w:after="0" w:afterAutospacing="0" w:line="400" w:lineRule="exact"/>
        <w:rPr>
          <w:rFonts w:hint="eastAsia" w:ascii="宋体" w:hAnsi="宋体" w:eastAsia="宋体"/>
          <w:b/>
          <w:bCs/>
          <w:color w:val="008000"/>
          <w:sz w:val="21"/>
          <w:szCs w:val="21"/>
          <w:lang w:eastAsia="zh-CN"/>
        </w:rPr>
      </w:pPr>
    </w:p>
    <w:p>
      <w:pPr>
        <w:pStyle w:val="5"/>
        <w:spacing w:before="0" w:beforeAutospacing="0" w:after="0" w:afterAutospacing="0" w:line="400" w:lineRule="exact"/>
        <w:rPr>
          <w:rFonts w:hint="eastAsia" w:ascii="宋体" w:hAnsi="宋体" w:eastAsia="宋体"/>
          <w:b/>
          <w:bCs/>
          <w:color w:val="008000"/>
          <w:sz w:val="21"/>
          <w:szCs w:val="21"/>
          <w:lang w:eastAsia="zh-CN"/>
        </w:rPr>
      </w:pPr>
      <w:r>
        <w:rPr>
          <w:rFonts w:ascii="宋体" w:hAnsi="宋体" w:eastAsia="宋体"/>
          <w:b/>
          <w:bCs/>
          <w:color w:val="008000"/>
          <w:sz w:val="21"/>
          <w:szCs w:val="21"/>
          <w:lang w:eastAsia="zh-CN"/>
        </w:rPr>
        <w:t>培训目标</w:t>
      </w:r>
    </w:p>
    <w:p>
      <w:pPr>
        <w:pStyle w:val="5"/>
        <w:spacing w:before="0" w:beforeAutospacing="0" w:after="0" w:afterAutospacing="0" w:line="400" w:lineRule="exact"/>
        <w:ind w:firstLine="420"/>
        <w:rPr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从故事开始，通过对银行营销本质的探讨，推导出公司业务营销的特征，从银行营销的特质出发，深入剖析公司业务产品创新的新观念和新技术，揭示公司业务负债业务技术的各种版本及其案例运用，推导出若干对公营销的新观念和新策略，主要通过实际案例的分析、讲解，全面提高商业银行中高级管理人员、信贷管理人员、客户经理、产品经理、风险评审人员公司全面掌握各种客户需求挖掘、营销谈判、产品组合创新的技术，提高活学活用能力和金融创新能力，快速提高营销能力和水平，揭示公司金融产品的发展趋势。</w:t>
      </w:r>
      <w:r>
        <w:rPr>
          <w:rFonts w:ascii="宋体" w:hAnsi="宋体" w:eastAsia="宋体"/>
          <w:color w:val="222222"/>
          <w:sz w:val="21"/>
          <w:szCs w:val="21"/>
          <w:lang w:eastAsia="zh-CN"/>
        </w:rPr>
        <w:br w:type="textWrapping"/>
      </w:r>
    </w:p>
    <w:p>
      <w:pPr>
        <w:pStyle w:val="5"/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b/>
          <w:bCs/>
          <w:color w:val="008000"/>
          <w:sz w:val="21"/>
          <w:szCs w:val="21"/>
          <w:lang w:eastAsia="zh-CN"/>
        </w:rPr>
      </w:pPr>
      <w:r>
        <w:rPr>
          <w:rFonts w:ascii="宋体" w:hAnsi="宋体" w:eastAsia="宋体"/>
          <w:b/>
          <w:bCs/>
          <w:color w:val="008000"/>
          <w:sz w:val="21"/>
          <w:szCs w:val="21"/>
          <w:lang w:eastAsia="zh-CN"/>
        </w:rPr>
        <w:t>学习内容</w:t>
      </w:r>
      <w:r>
        <w:rPr>
          <w:rStyle w:val="8"/>
          <w:rFonts w:ascii="宋体" w:hAnsi="宋体" w:eastAsia="宋体"/>
          <w:b/>
          <w:bCs/>
          <w:color w:val="008000"/>
          <w:sz w:val="21"/>
          <w:szCs w:val="21"/>
          <w:lang w:eastAsia="zh-CN"/>
        </w:rPr>
        <w:t> </w:t>
      </w:r>
    </w:p>
    <w:p>
      <w:pPr>
        <w:pStyle w:val="5"/>
        <w:spacing w:before="0" w:beforeAutospacing="0" w:after="0" w:afterAutospacing="0" w:line="400" w:lineRule="exact"/>
        <w:rPr>
          <w:rFonts w:ascii="宋体" w:hAnsi="宋体" w:eastAsia="宋体"/>
          <w:color w:val="222222"/>
          <w:sz w:val="21"/>
          <w:szCs w:val="21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pStyle w:val="5"/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一</w:t>
      </w:r>
      <w:r>
        <w:rPr>
          <w:rFonts w:hint="eastAsia" w:ascii="宋体" w:hAnsi="宋体" w:eastAsia="宋体"/>
          <w:color w:val="222222"/>
          <w:sz w:val="21"/>
          <w:szCs w:val="21"/>
          <w:lang w:eastAsia="zh-CN"/>
        </w:rPr>
        <w:t>、</w:t>
      </w:r>
      <w:r>
        <w:rPr>
          <w:rFonts w:ascii="宋体" w:hAnsi="宋体" w:eastAsia="宋体"/>
          <w:color w:val="222222"/>
          <w:sz w:val="21"/>
          <w:szCs w:val="21"/>
          <w:lang w:eastAsia="zh-CN"/>
        </w:rPr>
        <w:t>信贷的本质和公司业务营销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0"/>
          <w:numId w:val="2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信贷的本质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2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卖菜老太的启示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2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银行营销需解决的问题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0"/>
          <w:numId w:val="2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公司业务的客户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2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银行市场营销的核心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2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攻城案例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2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掠地案例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2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营销等边三角形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二</w:t>
      </w:r>
      <w:r>
        <w:rPr>
          <w:rFonts w:hint="eastAsia" w:ascii="宋体" w:hAnsi="宋体" w:eastAsia="宋体"/>
          <w:color w:val="222222"/>
          <w:sz w:val="21"/>
          <w:szCs w:val="21"/>
          <w:lang w:eastAsia="zh-CN"/>
        </w:rPr>
        <w:t>、</w:t>
      </w:r>
      <w:r>
        <w:rPr>
          <w:rFonts w:ascii="宋体" w:hAnsi="宋体" w:eastAsia="宋体"/>
          <w:color w:val="222222"/>
          <w:sz w:val="21"/>
          <w:szCs w:val="21"/>
          <w:lang w:eastAsia="zh-CN"/>
        </w:rPr>
        <w:t>客户需求挖掘和公司业务产品创新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spacing w:before="0" w:beforeAutospacing="0" w:after="0" w:afterAutospacing="0" w:line="400" w:lineRule="exact"/>
        <w:ind w:firstLine="408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hint="eastAsia" w:ascii="宋体" w:hAnsi="宋体" w:eastAsia="宋体"/>
          <w:color w:val="222222"/>
          <w:sz w:val="21"/>
          <w:szCs w:val="21"/>
        </w:rPr>
        <w:t>1.</w:t>
      </w:r>
      <w:r>
        <w:rPr>
          <w:rFonts w:ascii="宋体" w:hAnsi="宋体" w:eastAsia="宋体"/>
          <w:color w:val="222222"/>
          <w:sz w:val="21"/>
          <w:szCs w:val="21"/>
        </w:rPr>
        <w:t>客户需求深度挖掘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3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需求定律：物质利己主义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0"/>
          <w:numId w:val="3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物权和债权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3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财务搭脉术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3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客户对银行的核心需求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0"/>
          <w:numId w:val="3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SPIN技术简介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3"/>
        </w:numPr>
        <w:spacing w:before="0" w:beforeAutospacing="0" w:after="0" w:afterAutospacing="0" w:line="400" w:lineRule="exact"/>
        <w:rPr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用产品对接需求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spacing w:before="0" w:beforeAutospacing="0" w:after="0" w:afterAutospacing="0" w:line="400" w:lineRule="exact"/>
        <w:ind w:left="408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hint="eastAsia" w:ascii="宋体" w:hAnsi="宋体" w:eastAsia="宋体"/>
          <w:color w:val="222222"/>
          <w:sz w:val="21"/>
          <w:szCs w:val="21"/>
        </w:rPr>
        <w:t xml:space="preserve">2. </w:t>
      </w:r>
      <w:r>
        <w:rPr>
          <w:rFonts w:ascii="宋体" w:hAnsi="宋体" w:eastAsia="宋体"/>
          <w:color w:val="222222"/>
          <w:sz w:val="21"/>
          <w:szCs w:val="21"/>
        </w:rPr>
        <w:t>公司业务产品创新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1"/>
          <w:numId w:val="4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一个游戏的启示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1"/>
          <w:numId w:val="4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银行产品的核心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1"/>
          <w:numId w:val="4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利率的变相浮动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1"/>
          <w:numId w:val="4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信贷合同的最大特点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1"/>
          <w:numId w:val="4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银行拥有的最大法律权利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1"/>
          <w:numId w:val="4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报表中隐藏的兵器柜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1"/>
          <w:numId w:val="4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产品市场团队的关系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1"/>
          <w:numId w:val="4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预付帐款产品案例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1"/>
          <w:numId w:val="4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浮动抵押的条件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1"/>
          <w:numId w:val="4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产品结构的四个问题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1"/>
          <w:numId w:val="4"/>
        </w:numPr>
        <w:spacing w:before="0" w:beforeAutospacing="0" w:after="0" w:afterAutospacing="0" w:line="400" w:lineRule="exact"/>
        <w:rPr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补充：各行中小企业的成功实践及理论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hint="eastAsia" w:ascii="宋体" w:hAnsi="宋体" w:eastAsia="宋体"/>
          <w:color w:val="222222"/>
          <w:sz w:val="21"/>
          <w:szCs w:val="21"/>
          <w:lang w:eastAsia="zh-CN"/>
        </w:rPr>
        <w:t>三、</w:t>
      </w:r>
      <w:r>
        <w:rPr>
          <w:rFonts w:ascii="宋体" w:hAnsi="宋体" w:eastAsia="宋体"/>
          <w:color w:val="222222"/>
          <w:sz w:val="21"/>
          <w:szCs w:val="21"/>
          <w:lang w:eastAsia="zh-CN"/>
        </w:rPr>
        <w:t>产品组合方案设计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3"/>
          <w:numId w:val="5"/>
        </w:numPr>
        <w:spacing w:before="0" w:beforeAutospacing="0" w:after="0" w:afterAutospacing="0" w:line="400" w:lineRule="exact"/>
        <w:ind w:hanging="1254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产品和产品组合技术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1"/>
          <w:numId w:val="6"/>
        </w:numPr>
        <w:spacing w:before="0" w:beforeAutospacing="0" w:after="0" w:afterAutospacing="0" w:line="400" w:lineRule="exact"/>
        <w:rPr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产品的构成（报表中隐藏的兵器柜等）</w:t>
      </w:r>
    </w:p>
    <w:p>
      <w:pPr>
        <w:pStyle w:val="5"/>
        <w:numPr>
          <w:ilvl w:val="1"/>
          <w:numId w:val="6"/>
        </w:numPr>
        <w:spacing w:before="0" w:beforeAutospacing="0" w:after="0" w:afterAutospacing="0" w:line="400" w:lineRule="exact"/>
        <w:rPr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信贷的革命（典型报表分析、信贷新规带来的变化）</w:t>
      </w:r>
    </w:p>
    <w:p>
      <w:pPr>
        <w:pStyle w:val="5"/>
        <w:numPr>
          <w:ilvl w:val="1"/>
          <w:numId w:val="6"/>
        </w:numPr>
        <w:spacing w:before="0" w:beforeAutospacing="0" w:after="0" w:afterAutospacing="0" w:line="400" w:lineRule="exact"/>
        <w:rPr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供应链金融（信用捆绑技术、元件模块和系统、保兑仓的活学活等）</w:t>
      </w:r>
    </w:p>
    <w:p>
      <w:pPr>
        <w:pStyle w:val="5"/>
        <w:numPr>
          <w:ilvl w:val="1"/>
          <w:numId w:val="6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其它产品（现金管理、跨境人民币贸易）</w:t>
      </w:r>
    </w:p>
    <w:p>
      <w:pPr>
        <w:pStyle w:val="5"/>
        <w:numPr>
          <w:ilvl w:val="3"/>
          <w:numId w:val="5"/>
        </w:numPr>
        <w:spacing w:before="0" w:beforeAutospacing="0" w:after="0" w:afterAutospacing="0" w:line="400" w:lineRule="exact"/>
        <w:ind w:hanging="1254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金融服务方案的模式创新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0"/>
          <w:numId w:val="7"/>
        </w:numPr>
        <w:spacing w:before="0" w:beforeAutospacing="0" w:after="0" w:afterAutospacing="0" w:line="400" w:lineRule="exact"/>
        <w:rPr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模式创新（融通仓、未来货权质押、设备制造买方信贷等）</w:t>
      </w:r>
    </w:p>
    <w:p>
      <w:pPr>
        <w:pStyle w:val="5"/>
        <w:numPr>
          <w:ilvl w:val="0"/>
          <w:numId w:val="7"/>
        </w:numPr>
        <w:spacing w:before="0" w:beforeAutospacing="0" w:after="0" w:afterAutospacing="0" w:line="400" w:lineRule="exact"/>
        <w:rPr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lang w:eastAsia="zh-CN"/>
        </w:rPr>
        <w:t>渠道创新（大买方、大卖方、供应链管理公司、电子交易平台等）</w:t>
      </w:r>
    </w:p>
    <w:p>
      <w:pPr>
        <w:pStyle w:val="5"/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hint="eastAsia" w:ascii="宋体" w:hAnsi="宋体" w:eastAsia="宋体"/>
          <w:color w:val="222222"/>
          <w:sz w:val="21"/>
          <w:szCs w:val="21"/>
          <w:lang w:eastAsia="zh-CN"/>
        </w:rPr>
        <w:t>四、</w:t>
      </w:r>
      <w:r>
        <w:rPr>
          <w:rFonts w:ascii="宋体" w:hAnsi="宋体" w:eastAsia="宋体"/>
          <w:color w:val="222222"/>
          <w:sz w:val="21"/>
          <w:szCs w:val="21"/>
          <w:lang w:eastAsia="zh-CN"/>
        </w:rPr>
        <w:t>公司业务案例分析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0"/>
          <w:numId w:val="8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银票案例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商票的三大功能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应收租金保理案例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国内信用证灵活运用案例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报表中包含的万千气象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三办法一指引”带来的新变化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供应链金融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供应链全景图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  <w:r>
        <w:rPr>
          <w:rStyle w:val="8"/>
          <w:rFonts w:hint="eastAsia" w:ascii="宋体" w:hAnsi="宋体" w:eastAsia="宋体"/>
          <w:color w:val="222222"/>
          <w:sz w:val="21"/>
          <w:szCs w:val="21"/>
        </w:rPr>
        <w:t>、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供应链金融产品的五个切入点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链式融资适用行业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他偿的条件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  <w:lang w:eastAsia="zh-CN"/>
        </w:rPr>
      </w:pPr>
      <w:r>
        <w:rPr>
          <w:rFonts w:ascii="宋体" w:hAnsi="宋体" w:eastAsia="宋体"/>
          <w:color w:val="222222"/>
          <w:sz w:val="21"/>
          <w:szCs w:val="21"/>
          <w:lang w:eastAsia="zh-CN"/>
        </w:rPr>
        <w:t>控制他偿性融资的主要手段</w:t>
      </w:r>
      <w:r>
        <w:rPr>
          <w:rStyle w:val="8"/>
          <w:rFonts w:ascii="宋体" w:hAnsi="宋体" w:eastAsia="宋体"/>
          <w:color w:val="222222"/>
          <w:sz w:val="21"/>
          <w:szCs w:val="21"/>
          <w:lang w:eastAsia="zh-CN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自偿性融资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自偿性融资特点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信用“捆绑”技术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9"/>
        </w:numPr>
        <w:spacing w:before="0" w:beforeAutospacing="0" w:after="0" w:afterAutospacing="0" w:line="400" w:lineRule="exact"/>
        <w:ind w:hanging="519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担保的扩展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10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跨境人民币贸易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10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负债新产品案例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pPr>
        <w:pStyle w:val="5"/>
        <w:numPr>
          <w:ilvl w:val="0"/>
          <w:numId w:val="10"/>
        </w:numPr>
        <w:spacing w:before="0" w:beforeAutospacing="0" w:after="0" w:afterAutospacing="0" w:line="400" w:lineRule="exact"/>
        <w:rPr>
          <w:rStyle w:val="8"/>
          <w:rFonts w:hint="eastAsia" w:ascii="宋体" w:hAnsi="宋体" w:eastAsia="宋体"/>
          <w:color w:val="222222"/>
          <w:sz w:val="21"/>
          <w:szCs w:val="21"/>
        </w:rPr>
      </w:pPr>
      <w:r>
        <w:rPr>
          <w:rFonts w:ascii="宋体" w:hAnsi="宋体" w:eastAsia="宋体"/>
          <w:color w:val="222222"/>
          <w:sz w:val="21"/>
          <w:szCs w:val="21"/>
        </w:rPr>
        <w:t>负债产品技术版本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</w:p>
    <w:p>
      <w:r>
        <w:rPr>
          <w:rFonts w:ascii="宋体" w:hAnsi="宋体" w:eastAsia="宋体"/>
          <w:color w:val="222222"/>
          <w:sz w:val="21"/>
          <w:szCs w:val="21"/>
        </w:rPr>
        <w:t>产品的天空</w:t>
      </w:r>
      <w:r>
        <w:rPr>
          <w:rStyle w:val="8"/>
          <w:rFonts w:ascii="宋体" w:hAnsi="宋体" w:eastAsia="宋体"/>
          <w:color w:val="222222"/>
          <w:sz w:val="21"/>
          <w:szCs w:val="21"/>
        </w:rPr>
        <w:t> 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5px;height:15px" o:bullet="t">
        <v:imagedata r:id="rId1" o:title=""/>
      </v:shape>
    </w:pict>
  </w:numPicBullet>
  <w:numPicBullet w:numPicBulletId="1">
    <w:pict>
      <v:shape id="1" type="#_x0000_t75" style="width:15px;height:15px" o:bullet="t">
        <v:imagedata r:id="rId2" o:title=""/>
      </v:shape>
    </w:pict>
  </w:numPicBullet>
  <w:numPicBullet w:numPicBulletId="2">
    <w:pict>
      <v:shape id="2" type="#_x0000_t75" style="width:15px;height:15px" o:bullet="t">
        <v:imagedata r:id="rId3" o:title=""/>
      </v:shape>
    </w:pict>
  </w:numPicBullet>
  <w:numPicBullet w:numPicBulletId="3">
    <w:pict>
      <v:shape id="3" type="#_x0000_t75" style="width:15px;height:15px" o:bullet="t">
        <v:imagedata r:id="rId4" o:title=""/>
      </v:shape>
    </w:pict>
  </w:numPicBullet>
  <w:numPicBullet w:numPicBulletId="4">
    <w:pict>
      <v:shape id="4" type="#_x0000_t75" style="width:15px;height:15px" o:bullet="t">
        <v:imagedata r:id="rId5" o:title=""/>
      </v:shape>
    </w:pict>
  </w:numPicBullet>
  <w:numPicBullet w:numPicBulletId="5">
    <w:pict>
      <v:shape id="5" type="#_x0000_t75" style="width:15px;height:15px" o:bullet="t">
        <v:imagedata r:id="rId6" o:title=""/>
      </v:shape>
    </w:pict>
  </w:numPicBullet>
  <w:numPicBullet w:numPicBulletId="6">
    <w:pict>
      <v:shape id="6" type="#_x0000_t75" style="width:15px;height:15px" o:bullet="t">
        <v:imagedata r:id="rId7" o:title=""/>
      </v:shape>
    </w:pict>
  </w:numPicBullet>
  <w:numPicBullet w:numPicBulletId="7">
    <w:pict>
      <v:shape id="7" type="#_x0000_t75" style="width:15px;height:15px" o:bullet="t">
        <v:imagedata r:id="rId8" o:title=""/>
      </v:shape>
    </w:pict>
  </w:numPicBullet>
  <w:abstractNum w:abstractNumId="0">
    <w:nsid w:val="1ABC4A6B"/>
    <w:multiLevelType w:val="multilevel"/>
    <w:tmpl w:val="1ABC4A6B"/>
    <w:lvl w:ilvl="0" w:tentative="0">
      <w:start w:val="1"/>
      <w:numFmt w:val="japaneseCounting"/>
      <w:lvlText w:val="%1、"/>
      <w:lvlJc w:val="left"/>
      <w:pPr>
        <w:tabs>
          <w:tab w:val="left" w:pos="885"/>
        </w:tabs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056"/>
        </w:tabs>
        <w:ind w:left="1056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76"/>
        </w:tabs>
        <w:ind w:left="1476" w:hanging="420"/>
      </w:pPr>
    </w:lvl>
    <w:lvl w:ilvl="3" w:tentative="0">
      <w:start w:val="1"/>
      <w:numFmt w:val="decimal"/>
      <w:lvlText w:val="%4."/>
      <w:lvlJc w:val="left"/>
      <w:pPr>
        <w:tabs>
          <w:tab w:val="left" w:pos="1896"/>
        </w:tabs>
        <w:ind w:left="1896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316"/>
        </w:tabs>
        <w:ind w:left="2316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36"/>
        </w:tabs>
        <w:ind w:left="2736" w:hanging="420"/>
      </w:pPr>
    </w:lvl>
    <w:lvl w:ilvl="6" w:tentative="0">
      <w:start w:val="1"/>
      <w:numFmt w:val="decimal"/>
      <w:lvlText w:val="%7."/>
      <w:lvlJc w:val="left"/>
      <w:pPr>
        <w:tabs>
          <w:tab w:val="left" w:pos="3156"/>
        </w:tabs>
        <w:ind w:left="3156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76"/>
        </w:tabs>
        <w:ind w:left="3576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96"/>
        </w:tabs>
        <w:ind w:left="3996" w:hanging="420"/>
      </w:pPr>
    </w:lvl>
  </w:abstractNum>
  <w:abstractNum w:abstractNumId="1">
    <w:nsid w:val="3B1856E0"/>
    <w:multiLevelType w:val="multilevel"/>
    <w:tmpl w:val="3B1856E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bullet"/>
      <w:lvlText w:val=""/>
      <w:lvlPicBulletId w:val="3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76378E"/>
    <w:multiLevelType w:val="multilevel"/>
    <w:tmpl w:val="3C76378E"/>
    <w:lvl w:ilvl="0" w:tentative="0">
      <w:start w:val="1"/>
      <w:numFmt w:val="bullet"/>
      <w:lvlText w:val=""/>
      <w:lvlPicBulletId w:val="0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3DE7031B"/>
    <w:multiLevelType w:val="multilevel"/>
    <w:tmpl w:val="3DE7031B"/>
    <w:lvl w:ilvl="0" w:tentative="0">
      <w:start w:val="1"/>
      <w:numFmt w:val="bullet"/>
      <w:lvlText w:val=""/>
      <w:lvlPicBulletId w:val="4"/>
      <w:lvlJc w:val="left"/>
      <w:pPr>
        <w:ind w:left="846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6" w:hanging="420"/>
      </w:pPr>
      <w:rPr>
        <w:rFonts w:hint="default" w:ascii="Wingdings" w:hAnsi="Wingdings"/>
      </w:rPr>
    </w:lvl>
  </w:abstractNum>
  <w:abstractNum w:abstractNumId="4">
    <w:nsid w:val="449E25F9"/>
    <w:multiLevelType w:val="multilevel"/>
    <w:tmpl w:val="449E25F9"/>
    <w:lvl w:ilvl="0" w:tentative="0">
      <w:start w:val="1"/>
      <w:numFmt w:val="bullet"/>
      <w:lvlText w:val=""/>
      <w:lvlPicBulletId w:val="6"/>
      <w:lvlJc w:val="left"/>
      <w:pPr>
        <w:ind w:left="9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05" w:hanging="420"/>
      </w:pPr>
      <w:rPr>
        <w:rFonts w:hint="default" w:ascii="Wingdings" w:hAnsi="Wingdings"/>
      </w:rPr>
    </w:lvl>
  </w:abstractNum>
  <w:abstractNum w:abstractNumId="5">
    <w:nsid w:val="455D3A68"/>
    <w:multiLevelType w:val="multilevel"/>
    <w:tmpl w:val="455D3A68"/>
    <w:lvl w:ilvl="0" w:tentative="0">
      <w:start w:val="1"/>
      <w:numFmt w:val="bullet"/>
      <w:lvlText w:val=""/>
      <w:lvlPicBulletId w:val="5"/>
      <w:lvlJc w:val="left"/>
      <w:pPr>
        <w:ind w:left="9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05" w:hanging="420"/>
      </w:pPr>
      <w:rPr>
        <w:rFonts w:hint="default" w:ascii="Wingdings" w:hAnsi="Wingdings"/>
      </w:rPr>
    </w:lvl>
  </w:abstractNum>
  <w:abstractNum w:abstractNumId="6">
    <w:nsid w:val="531F0BAE"/>
    <w:multiLevelType w:val="multilevel"/>
    <w:tmpl w:val="531F0BAE"/>
    <w:lvl w:ilvl="0" w:tentative="0">
      <w:start w:val="1"/>
      <w:numFmt w:val="bullet"/>
      <w:lvlText w:val=""/>
      <w:lvlPicBulletId w:val="7"/>
      <w:lvlJc w:val="left"/>
      <w:pPr>
        <w:ind w:left="945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6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8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0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2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4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6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8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05" w:hanging="420"/>
      </w:pPr>
      <w:rPr>
        <w:rFonts w:hint="default" w:ascii="Wingdings" w:hAnsi="Wingdings"/>
      </w:rPr>
    </w:lvl>
  </w:abstractNum>
  <w:abstractNum w:abstractNumId="7">
    <w:nsid w:val="672E16AF"/>
    <w:multiLevelType w:val="multilevel"/>
    <w:tmpl w:val="672E16A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bullet"/>
      <w:lvlText w:val=""/>
      <w:lvlPicBulletId w:val="2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3"/>
      <w:numFmt w:val="japaneseCounting"/>
      <w:lvlText w:val="%3、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BD194B"/>
    <w:multiLevelType w:val="multilevel"/>
    <w:tmpl w:val="6ABD194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437410"/>
    <w:multiLevelType w:val="multilevel"/>
    <w:tmpl w:val="78437410"/>
    <w:lvl w:ilvl="0" w:tentative="0">
      <w:start w:val="1"/>
      <w:numFmt w:val="bullet"/>
      <w:lvlText w:val=""/>
      <w:lvlPicBulletId w:val="1"/>
      <w:lvlJc w:val="left"/>
      <w:pPr>
        <w:ind w:left="828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48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6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8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0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2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4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6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88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9"/>
  </w:num>
  <w:num w:numId="4">
    <w:abstractNumId w:val="7"/>
  </w:num>
  <w:num w:numId="5">
    <w:abstractNumId w:val="8"/>
  </w:num>
  <w:num w:numId="6">
    <w:abstractNumId w:val="1"/>
  </w:num>
  <w:num w:numId="7">
    <w:abstractNumId w:val="3"/>
  </w:num>
  <w:num w:numId="8">
    <w:abstractNumId w:val="5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F1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</w:pPr>
    <w:rPr>
      <w:rFonts w:ascii="Arial Unicode MS" w:hAnsi="Arial Unicode MS" w:eastAsia="Arial Unicode MS" w:cs="Arial Unicode MS"/>
      <w:lang w:eastAsia="en-US"/>
    </w:rPr>
  </w:style>
  <w:style w:type="character" w:customStyle="1" w:styleId="8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2021-08-05T03:56:25Z</dcterms:created>
  <dc:creator>shizi06</dc:creator>
  <cp:lastModifiedBy>蓉儿</cp:lastModifiedBy>
  <dcterms:modified xsi:type="dcterms:W3CDTF">2021-08-05T03:56:37Z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3BED92583C5E4404A93C63E51BFE85E2</vt:lpwstr>
  </property>
</Properties>
</file>