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spacing w:after="240"/>
        <w:jc w:val="both"/>
        <w:rPr>
          <w:rFonts w:ascii="宋体" w:hAnsi="宋体"/>
          <w:i w:val="0"/>
          <w:color w:val="000080"/>
          <w:sz w:val="44"/>
          <w:szCs w:val="44"/>
        </w:rPr>
      </w:pPr>
      <w:bookmarkStart w:id="0" w:name="_Toc351046153"/>
      <w:bookmarkStart w:id="1" w:name="_Toc351048319"/>
      <w:r>
        <w:rPr>
          <w:rFonts w:hint="eastAsia" w:ascii="宋体" w:hAnsi="宋体"/>
          <w:i w:val="0"/>
          <w:color w:val="000080"/>
          <w:sz w:val="44"/>
          <w:szCs w:val="44"/>
        </w:rPr>
        <w:t>银行支行行长管理素质提升训练</w:t>
      </w:r>
      <w:bookmarkEnd w:id="0"/>
      <w:bookmarkEnd w:id="1"/>
    </w:p>
    <w:p>
      <w:pPr>
        <w:rPr>
          <w:rFonts w:hint="eastAsia"/>
        </w:rPr>
      </w:pPr>
    </w:p>
    <w:p>
      <w:pPr>
        <w:pStyle w:val="5"/>
        <w:spacing w:before="75" w:beforeAutospacing="0" w:after="0" w:afterAutospacing="0" w:line="375" w:lineRule="atLeast"/>
        <w:rPr>
          <w:b/>
          <w:color w:val="333333"/>
          <w:sz w:val="21"/>
          <w:szCs w:val="21"/>
          <w:lang w:eastAsia="zh-CN"/>
        </w:rPr>
      </w:pPr>
      <w:r>
        <w:rPr>
          <w:rFonts w:hint="eastAsia"/>
          <w:b/>
          <w:color w:val="333333"/>
          <w:sz w:val="21"/>
          <w:szCs w:val="21"/>
          <w:lang w:eastAsia="zh-CN"/>
        </w:rPr>
        <w:t>课程目标: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了解经营与管理间的不同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剖析经营的挑战，指出管理努力的大方向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管理者的素质养成与心态建立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建立企业管理文化及管理的共同语言，藉以发挥管理最大效益，奠定企业竞争力。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促使企业管理人员灵活运用管理技能，重整管理经验，落实愿景，落实经营需求至管理行为。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工作计划的拟定与分配职务，下达命令的技巧。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掌握组织分工与授权的技巧</w:t>
      </w:r>
    </w:p>
    <w:p>
      <w:pPr>
        <w:pStyle w:val="5"/>
        <w:spacing w:before="0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color w:val="333333"/>
          <w:sz w:val="21"/>
          <w:szCs w:val="21"/>
        </w:rPr>
        <w:fldChar w:fldCharType="begin"/>
      </w:r>
      <w:r>
        <w:rPr>
          <w:color w:val="333333"/>
          <w:sz w:val="21"/>
          <w:szCs w:val="21"/>
          <w:lang w:eastAsia="zh-CN"/>
        </w:rPr>
        <w:instrText xml:space="preserve"> HYPERLINK "http://www.gdpx.com.cn/topics/lingdao/" </w:instrText>
      </w:r>
      <w:r>
        <w:rPr>
          <w:color w:val="333333"/>
          <w:sz w:val="21"/>
          <w:szCs w:val="21"/>
        </w:rPr>
        <w:fldChar w:fldCharType="separate"/>
      </w:r>
      <w:r>
        <w:rPr>
          <w:rStyle w:val="8"/>
          <w:rFonts w:hint="eastAsia"/>
          <w:color w:val="0E5CA0"/>
          <w:sz w:val="21"/>
          <w:szCs w:val="21"/>
          <w:lang w:eastAsia="zh-CN"/>
        </w:rPr>
        <w:t>领导力</w:t>
      </w:r>
      <w:r>
        <w:rPr>
          <w:color w:val="333333"/>
          <w:sz w:val="21"/>
          <w:szCs w:val="21"/>
        </w:rPr>
        <w:fldChar w:fldCharType="end"/>
      </w:r>
      <w:r>
        <w:rPr>
          <w:rFonts w:hint="eastAsia"/>
          <w:color w:val="333333"/>
          <w:sz w:val="21"/>
          <w:szCs w:val="21"/>
          <w:lang w:eastAsia="zh-CN"/>
        </w:rPr>
        <w:t>的提升与不同情境的权变掌握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绩效评估与面谈技巧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培育与激励部属的方法与技巧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了解组织行为与冲突管理的技巧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养成沟通与协调的心态与技巧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掌握团队发展阶段策略,建构高效团队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建构管理者的问题分析能力与决策质量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b/>
          <w:color w:val="333333"/>
          <w:sz w:val="21"/>
          <w:szCs w:val="21"/>
          <w:lang w:eastAsia="zh-CN"/>
        </w:rPr>
      </w:pPr>
    </w:p>
    <w:p>
      <w:pPr>
        <w:pStyle w:val="5"/>
        <w:spacing w:before="75" w:beforeAutospacing="0" w:after="0" w:afterAutospacing="0" w:line="375" w:lineRule="atLeast"/>
        <w:rPr>
          <w:rFonts w:hint="eastAsia"/>
          <w:b/>
          <w:color w:val="333333"/>
          <w:sz w:val="21"/>
          <w:szCs w:val="21"/>
        </w:rPr>
      </w:pPr>
      <w:r>
        <w:rPr>
          <w:rFonts w:hint="eastAsia"/>
          <w:b/>
          <w:color w:val="333333"/>
          <w:sz w:val="21"/>
          <w:szCs w:val="21"/>
        </w:rPr>
        <w:t>课程特色：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针对管理上之必要共通课题研究其相关的基本原则、方法及概念。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融合各个企业实践的经验与精髓，不断与时代同步迈进；是确实经得起时代验证的管理者培育课程。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尊重人性及管理科学精神为核心；以会议式指导法为主轴，辅以多项精心设计的案例，分组讨论、演练，分享以及针对性的活动，是兼顾有效性、实用性及组织效益的企业主管训练课程。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针对管理阶层所需具备的管理能力，做系统化的培养，架构最完整；切合管理阶层的任务与定位，是可灵活应用的主管训练课程。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协助管理者在面对挑战与问题上，讨论与分享意见，不仅具备管理实务的概念，亦从彼此分享及个人经验中学习，易于落实与应用；系以实务应用为导向的课程。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扁平式的课程架构，单元间脉络相承，相对呼应，藉以建立整体性的管理概念。</w:t>
      </w:r>
    </w:p>
    <w:p>
      <w:pPr>
        <w:pStyle w:val="5"/>
        <w:numPr>
          <w:ilvl w:val="0"/>
          <w:numId w:val="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以参与受训人员的知识、智能及经验为主，采取多元化教学方法进行意见交流及研讨，以达到相互启发的目的。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b/>
          <w:color w:val="333333"/>
          <w:sz w:val="21"/>
          <w:szCs w:val="21"/>
          <w:lang w:eastAsia="zh-CN"/>
        </w:rPr>
        <w:t>受训对象：</w:t>
      </w:r>
      <w:r>
        <w:rPr>
          <w:rFonts w:hint="eastAsia"/>
          <w:color w:val="333333"/>
          <w:sz w:val="21"/>
          <w:szCs w:val="21"/>
          <w:lang w:eastAsia="zh-CN"/>
        </w:rPr>
        <w:t>银行支行行长</w:t>
      </w:r>
    </w:p>
    <w:p>
      <w:pPr>
        <w:pStyle w:val="5"/>
        <w:spacing w:before="75" w:beforeAutospacing="0" w:after="0" w:afterAutospacing="0" w:line="375" w:lineRule="atLeast"/>
        <w:rPr>
          <w:rFonts w:hint="eastAsia" w:eastAsia="宋体"/>
          <w:color w:val="333333"/>
          <w:sz w:val="21"/>
          <w:szCs w:val="21"/>
          <w:lang w:eastAsia="zh-CN"/>
        </w:rPr>
      </w:pPr>
      <w:r>
        <w:rPr>
          <w:rFonts w:hint="eastAsia"/>
          <w:b/>
          <w:color w:val="333333"/>
          <w:sz w:val="21"/>
          <w:szCs w:val="21"/>
          <w:lang w:eastAsia="zh-CN"/>
        </w:rPr>
        <w:t>培训时数：</w:t>
      </w:r>
      <w:r>
        <w:rPr>
          <w:rFonts w:hint="eastAsia"/>
          <w:color w:val="333333"/>
          <w:sz w:val="21"/>
          <w:szCs w:val="21"/>
          <w:lang w:eastAsia="zh-CN"/>
        </w:rPr>
        <w:t>2天12小时</w:t>
      </w:r>
    </w:p>
    <w:p>
      <w:pPr>
        <w:pStyle w:val="5"/>
        <w:spacing w:before="75" w:beforeAutospacing="0" w:after="0" w:afterAutospacing="0" w:line="375" w:lineRule="atLeast"/>
        <w:rPr>
          <w:rFonts w:hint="eastAsia" w:eastAsia="宋体"/>
          <w:color w:val="333333"/>
          <w:sz w:val="21"/>
          <w:szCs w:val="21"/>
          <w:lang w:eastAsia="zh-CN"/>
        </w:rPr>
      </w:pPr>
    </w:p>
    <w:p>
      <w:pPr>
        <w:pStyle w:val="5"/>
        <w:spacing w:before="75" w:beforeAutospacing="0" w:after="0" w:afterAutospacing="0" w:line="375" w:lineRule="atLeast"/>
        <w:rPr>
          <w:rFonts w:hint="eastAsia"/>
          <w:b/>
          <w:color w:val="333333"/>
          <w:sz w:val="21"/>
          <w:szCs w:val="21"/>
          <w:lang w:eastAsia="zh-CN"/>
        </w:rPr>
      </w:pPr>
      <w:r>
        <w:rPr>
          <w:rFonts w:hint="eastAsia"/>
          <w:b/>
          <w:color w:val="333333"/>
          <w:sz w:val="21"/>
          <w:szCs w:val="21"/>
          <w:lang w:eastAsia="zh-CN"/>
        </w:rPr>
        <w:t>课程大纲：</w:t>
      </w:r>
    </w:p>
    <w:p>
      <w:pPr>
        <w:pStyle w:val="5"/>
        <w:spacing w:before="75" w:beforeAutospacing="0" w:after="0" w:afterAutospacing="0" w:line="375" w:lineRule="atLeast"/>
        <w:rPr>
          <w:b/>
          <w:color w:val="333333"/>
          <w:sz w:val="21"/>
          <w:szCs w:val="21"/>
          <w:lang w:eastAsia="zh-CN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pStyle w:val="5"/>
        <w:spacing w:before="75" w:beforeAutospacing="0" w:after="0" w:afterAutospacing="0" w:line="375" w:lineRule="atLeast"/>
        <w:rPr>
          <w:rFonts w:hint="eastAsia"/>
          <w:b/>
          <w:color w:val="333333"/>
          <w:sz w:val="21"/>
          <w:szCs w:val="21"/>
          <w:lang w:eastAsia="zh-CN"/>
        </w:rPr>
      </w:pPr>
      <w:r>
        <w:rPr>
          <w:rFonts w:hint="eastAsia"/>
          <w:b/>
          <w:color w:val="333333"/>
          <w:sz w:val="21"/>
          <w:szCs w:val="21"/>
          <w:lang w:eastAsia="zh-CN"/>
        </w:rPr>
        <w:t>第一单元：认知管理—管理者的定位与职责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一. 引言</w:t>
      </w:r>
    </w:p>
    <w:p>
      <w:pPr>
        <w:pStyle w:val="5"/>
        <w:spacing w:before="75" w:beforeAutospacing="0" w:after="0" w:afterAutospacing="0" w:line="375" w:lineRule="atLeast"/>
        <w:ind w:firstLine="420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解决问题或换问题</w:t>
      </w:r>
    </w:p>
    <w:p>
      <w:pPr>
        <w:pStyle w:val="5"/>
        <w:spacing w:before="75" w:beforeAutospacing="0" w:after="0" w:afterAutospacing="0" w:line="375" w:lineRule="atLeast"/>
        <w:ind w:firstLine="420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新思考水平——经营的眼光</w:t>
      </w:r>
    </w:p>
    <w:p>
      <w:pPr>
        <w:pStyle w:val="5"/>
        <w:spacing w:before="75" w:beforeAutospacing="0" w:after="0" w:afterAutospacing="0" w:line="375" w:lineRule="atLeast"/>
        <w:ind w:firstLine="420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复杂的问题没有简单的答案</w:t>
      </w:r>
    </w:p>
    <w:p>
      <w:pPr>
        <w:pStyle w:val="5"/>
        <w:spacing w:before="75" w:beforeAutospacing="0" w:after="0" w:afterAutospacing="0" w:line="375" w:lineRule="atLeast"/>
        <w:ind w:firstLine="420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错的问题没有对的答案</w:t>
      </w:r>
    </w:p>
    <w:p>
      <w:pPr>
        <w:pStyle w:val="5"/>
        <w:spacing w:before="75" w:beforeAutospacing="0" w:after="0" w:afterAutospacing="0" w:line="375" w:lineRule="atLeast"/>
        <w:ind w:firstLine="420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KCAB的循环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二. 管理的环境分析</w:t>
      </w:r>
    </w:p>
    <w:p>
      <w:pPr>
        <w:pStyle w:val="5"/>
        <w:numPr>
          <w:ilvl w:val="0"/>
          <w:numId w:val="3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经营的挑战</w:t>
      </w:r>
    </w:p>
    <w:p>
      <w:pPr>
        <w:pStyle w:val="5"/>
        <w:numPr>
          <w:ilvl w:val="0"/>
          <w:numId w:val="4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本质：定位(positioning)</w:t>
      </w:r>
    </w:p>
    <w:p>
      <w:pPr>
        <w:pStyle w:val="5"/>
        <w:numPr>
          <w:ilvl w:val="0"/>
          <w:numId w:val="4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挑战：竞争(competition)</w:t>
      </w:r>
    </w:p>
    <w:p>
      <w:pPr>
        <w:pStyle w:val="5"/>
        <w:numPr>
          <w:ilvl w:val="0"/>
          <w:numId w:val="4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趋势：全球化(globalization)</w:t>
      </w:r>
    </w:p>
    <w:p>
      <w:pPr>
        <w:pStyle w:val="5"/>
        <w:numPr>
          <w:ilvl w:val="0"/>
          <w:numId w:val="4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战略建议：经营调准与管理升级</w:t>
      </w:r>
    </w:p>
    <w:p>
      <w:pPr>
        <w:pStyle w:val="5"/>
        <w:numPr>
          <w:ilvl w:val="0"/>
          <w:numId w:val="5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结构设计</w:t>
      </w:r>
    </w:p>
    <w:p>
      <w:pPr>
        <w:pStyle w:val="5"/>
        <w:numPr>
          <w:ilvl w:val="0"/>
          <w:numId w:val="5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组织与文化</w:t>
      </w:r>
    </w:p>
    <w:p>
      <w:pPr>
        <w:pStyle w:val="5"/>
        <w:numPr>
          <w:ilvl w:val="0"/>
          <w:numId w:val="5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管理模式</w:t>
      </w:r>
    </w:p>
    <w:p>
      <w:pPr>
        <w:pStyle w:val="5"/>
        <w:numPr>
          <w:ilvl w:val="0"/>
          <w:numId w:val="5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运作系统</w:t>
      </w:r>
    </w:p>
    <w:p>
      <w:pPr>
        <w:pStyle w:val="5"/>
        <w:numPr>
          <w:ilvl w:val="0"/>
          <w:numId w:val="5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高层行动战略建议：学习、控管、增强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三. 银行行长的角色与职责</w:t>
      </w:r>
    </w:p>
    <w:p>
      <w:pPr>
        <w:pStyle w:val="5"/>
        <w:numPr>
          <w:ilvl w:val="0"/>
          <w:numId w:val="6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银行行长的定位及任务</w:t>
      </w:r>
    </w:p>
    <w:p>
      <w:pPr>
        <w:pStyle w:val="5"/>
        <w:numPr>
          <w:ilvl w:val="0"/>
          <w:numId w:val="6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管理的四大构面及工作</w:t>
      </w:r>
    </w:p>
    <w:p>
      <w:pPr>
        <w:pStyle w:val="5"/>
        <w:numPr>
          <w:ilvl w:val="0"/>
          <w:numId w:val="6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管理者的信念与操守</w:t>
      </w:r>
    </w:p>
    <w:p>
      <w:pPr>
        <w:pStyle w:val="5"/>
        <w:numPr>
          <w:ilvl w:val="0"/>
          <w:numId w:val="6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建立管理的标准</w:t>
      </w:r>
    </w:p>
    <w:p>
      <w:pPr>
        <w:pStyle w:val="5"/>
        <w:numPr>
          <w:ilvl w:val="0"/>
          <w:numId w:val="6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重新定义管理者与企业的关系　</w:t>
      </w:r>
    </w:p>
    <w:p>
      <w:pPr>
        <w:pStyle w:val="5"/>
        <w:numPr>
          <w:ilvl w:val="0"/>
          <w:numId w:val="6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重新定义管理者与部属的关系</w:t>
      </w:r>
    </w:p>
    <w:p>
      <w:pPr>
        <w:pStyle w:val="5"/>
        <w:numPr>
          <w:ilvl w:val="0"/>
          <w:numId w:val="6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管理与经营的融合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b/>
          <w:color w:val="333333"/>
          <w:sz w:val="21"/>
          <w:szCs w:val="21"/>
        </w:rPr>
      </w:pPr>
    </w:p>
    <w:p>
      <w:pPr>
        <w:pStyle w:val="5"/>
        <w:spacing w:before="75" w:beforeAutospacing="0" w:after="0" w:afterAutospacing="0" w:line="375" w:lineRule="atLeast"/>
        <w:rPr>
          <w:rFonts w:hint="eastAsia"/>
          <w:b/>
          <w:color w:val="333333"/>
          <w:sz w:val="21"/>
          <w:szCs w:val="21"/>
          <w:lang w:eastAsia="zh-CN"/>
        </w:rPr>
      </w:pPr>
      <w:r>
        <w:rPr>
          <w:rFonts w:hint="eastAsia"/>
          <w:b/>
          <w:color w:val="333333"/>
          <w:sz w:val="21"/>
          <w:szCs w:val="21"/>
          <w:lang w:eastAsia="zh-CN"/>
        </w:rPr>
        <w:t>第二单元：愿景实践—管理机能的展开　</w:t>
      </w:r>
    </w:p>
    <w:p>
      <w:pPr>
        <w:pStyle w:val="5"/>
        <w:spacing w:before="0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一. 策略与</w:t>
      </w:r>
      <w:r>
        <w:rPr>
          <w:color w:val="333333"/>
          <w:sz w:val="21"/>
          <w:szCs w:val="21"/>
        </w:rPr>
        <w:fldChar w:fldCharType="begin"/>
      </w:r>
      <w:r>
        <w:rPr>
          <w:color w:val="333333"/>
          <w:sz w:val="21"/>
          <w:szCs w:val="21"/>
        </w:rPr>
        <w:instrText xml:space="preserve"> HYPERLINK "http://www.gdpx.com.cn/topics/jixiao/" </w:instrText>
      </w:r>
      <w:r>
        <w:rPr>
          <w:color w:val="333333"/>
          <w:sz w:val="21"/>
          <w:szCs w:val="21"/>
        </w:rPr>
        <w:fldChar w:fldCharType="separate"/>
      </w:r>
      <w:r>
        <w:rPr>
          <w:rStyle w:val="8"/>
          <w:rFonts w:hint="eastAsia"/>
          <w:color w:val="0E5CA0"/>
          <w:sz w:val="21"/>
          <w:szCs w:val="21"/>
        </w:rPr>
        <w:t>绩效管理</w:t>
      </w:r>
      <w:r>
        <w:rPr>
          <w:color w:val="333333"/>
          <w:sz w:val="21"/>
          <w:szCs w:val="21"/>
        </w:rPr>
        <w:fldChar w:fldCharType="end"/>
      </w:r>
      <w:r>
        <w:rPr>
          <w:rFonts w:hint="eastAsia"/>
          <w:color w:val="333333"/>
          <w:sz w:val="21"/>
          <w:szCs w:val="21"/>
        </w:rPr>
        <w:t>鸟瞰</w:t>
      </w:r>
    </w:p>
    <w:p>
      <w:pPr>
        <w:pStyle w:val="5"/>
        <w:numPr>
          <w:ilvl w:val="0"/>
          <w:numId w:val="7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瞻前：沟通整合年度、部门目标</w:t>
      </w:r>
    </w:p>
    <w:p>
      <w:pPr>
        <w:pStyle w:val="5"/>
        <w:numPr>
          <w:ilvl w:val="0"/>
          <w:numId w:val="7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顾后：理清愿景、对策略提供改进回馈</w:t>
      </w:r>
    </w:p>
    <w:p>
      <w:pPr>
        <w:pStyle w:val="5"/>
        <w:numPr>
          <w:ilvl w:val="0"/>
          <w:numId w:val="7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企业使命与愿景之理清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二. 结合策略与绩效管理</w:t>
      </w:r>
    </w:p>
    <w:p>
      <w:pPr>
        <w:pStyle w:val="5"/>
        <w:numPr>
          <w:ilvl w:val="0"/>
          <w:numId w:val="8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组织营运目标VS组织使命/愿景/价值</w:t>
      </w:r>
    </w:p>
    <w:p>
      <w:pPr>
        <w:pStyle w:val="5"/>
        <w:numPr>
          <w:ilvl w:val="0"/>
          <w:numId w:val="8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部门业务/经营目标VS部门任务/业务内容</w:t>
      </w:r>
    </w:p>
    <w:p>
      <w:pPr>
        <w:pStyle w:val="5"/>
        <w:numPr>
          <w:ilvl w:val="0"/>
          <w:numId w:val="8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个人业务/工作目标VS个人职务说明</w:t>
      </w:r>
    </w:p>
    <w:p>
      <w:pPr>
        <w:pStyle w:val="5"/>
        <w:numPr>
          <w:ilvl w:val="0"/>
          <w:numId w:val="8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目标管理的含意与价值</w:t>
      </w:r>
    </w:p>
    <w:p>
      <w:pPr>
        <w:pStyle w:val="5"/>
        <w:numPr>
          <w:ilvl w:val="0"/>
          <w:numId w:val="8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实施目标管理的前提条件</w:t>
      </w:r>
    </w:p>
    <w:p>
      <w:pPr>
        <w:pStyle w:val="5"/>
        <w:numPr>
          <w:ilvl w:val="0"/>
          <w:numId w:val="8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企业实施目标管理成败分析</w:t>
      </w:r>
    </w:p>
    <w:p>
      <w:pPr>
        <w:pStyle w:val="5"/>
        <w:numPr>
          <w:ilvl w:val="0"/>
          <w:numId w:val="8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目标管理实施的主要效益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b/>
          <w:color w:val="333333"/>
          <w:sz w:val="21"/>
          <w:szCs w:val="21"/>
          <w:lang w:eastAsia="zh-CN"/>
        </w:rPr>
      </w:pPr>
    </w:p>
    <w:p>
      <w:pPr>
        <w:pStyle w:val="5"/>
        <w:spacing w:before="75" w:beforeAutospacing="0" w:after="0" w:afterAutospacing="0" w:line="375" w:lineRule="atLeast"/>
        <w:rPr>
          <w:rFonts w:hint="eastAsia"/>
          <w:b/>
          <w:color w:val="333333"/>
          <w:sz w:val="21"/>
          <w:szCs w:val="21"/>
          <w:lang w:eastAsia="zh-CN"/>
        </w:rPr>
      </w:pPr>
      <w:r>
        <w:rPr>
          <w:rFonts w:hint="eastAsia"/>
          <w:b/>
          <w:color w:val="333333"/>
          <w:sz w:val="21"/>
          <w:szCs w:val="21"/>
          <w:lang w:eastAsia="zh-CN"/>
        </w:rPr>
        <w:t>第三单元：工作管理－计划与控制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一、管理趋势—策略性经营制度</w:t>
      </w:r>
    </w:p>
    <w:p>
      <w:pPr>
        <w:pStyle w:val="5"/>
        <w:spacing w:before="75" w:beforeAutospacing="0" w:after="0" w:afterAutospacing="0" w:line="375" w:lineRule="atLeast"/>
        <w:ind w:firstLine="420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策略性绩效衡量应由企业远景、目标及策略开始，必须对企业中各管理阶层提供</w:t>
      </w:r>
    </w:p>
    <w:p>
      <w:pPr>
        <w:pStyle w:val="5"/>
        <w:spacing w:before="75" w:beforeAutospacing="0" w:after="0" w:afterAutospacing="0" w:line="375" w:lineRule="atLeast"/>
        <w:ind w:firstLine="420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持续的回馈，使经营主管的远景转换成高阶主管的策略(方针)目标，中阶主管的</w:t>
      </w:r>
    </w:p>
    <w:p>
      <w:pPr>
        <w:pStyle w:val="5"/>
        <w:spacing w:before="75" w:beforeAutospacing="0" w:after="0" w:afterAutospacing="0" w:line="375" w:lineRule="atLeast"/>
        <w:ind w:firstLine="420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具体行动计划及基层的日常工作计划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二、工作管理五大循环</w:t>
      </w:r>
    </w:p>
    <w:p>
      <w:pPr>
        <w:pStyle w:val="5"/>
        <w:spacing w:before="75" w:beforeAutospacing="0" w:after="0" w:afterAutospacing="0" w:line="375" w:lineRule="atLeast"/>
        <w:ind w:firstLine="420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计划\职务分配\指令下达\控制\协调　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三、控制</w:t>
      </w:r>
    </w:p>
    <w:p>
      <w:pPr>
        <w:pStyle w:val="5"/>
        <w:numPr>
          <w:ilvl w:val="0"/>
          <w:numId w:val="9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控制的原则与标准</w:t>
      </w:r>
    </w:p>
    <w:p>
      <w:pPr>
        <w:pStyle w:val="5"/>
        <w:numPr>
          <w:ilvl w:val="0"/>
          <w:numId w:val="9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比较、检讨事前的计划和实施过程及结果，寻求必要的对策。</w:t>
      </w:r>
    </w:p>
    <w:p>
      <w:pPr>
        <w:pStyle w:val="5"/>
        <w:numPr>
          <w:ilvl w:val="0"/>
          <w:numId w:val="9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检视计划和其实行的过程之偏差。</w:t>
      </w:r>
    </w:p>
    <w:p>
      <w:pPr>
        <w:pStyle w:val="5"/>
        <w:numPr>
          <w:ilvl w:val="0"/>
          <w:numId w:val="9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控制的必要性</w:t>
      </w:r>
    </w:p>
    <w:p>
      <w:pPr>
        <w:pStyle w:val="5"/>
        <w:numPr>
          <w:ilvl w:val="0"/>
          <w:numId w:val="9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掌握执行的状况：检查、测试、调查、观察，掌握现状与标准的差异性。</w:t>
      </w:r>
    </w:p>
    <w:p>
      <w:pPr>
        <w:pStyle w:val="5"/>
        <w:numPr>
          <w:ilvl w:val="0"/>
          <w:numId w:val="9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采取矫正的行动：对偏差的部分，提出矫正措施，及时修正。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b/>
          <w:color w:val="333333"/>
          <w:sz w:val="21"/>
          <w:szCs w:val="21"/>
          <w:lang w:eastAsia="zh-CN"/>
        </w:rPr>
      </w:pPr>
    </w:p>
    <w:p>
      <w:pPr>
        <w:pStyle w:val="5"/>
        <w:spacing w:before="75" w:beforeAutospacing="0" w:after="0" w:afterAutospacing="0" w:line="375" w:lineRule="atLeast"/>
        <w:rPr>
          <w:rFonts w:hint="eastAsia"/>
          <w:b/>
          <w:color w:val="333333"/>
          <w:sz w:val="21"/>
          <w:szCs w:val="21"/>
          <w:lang w:eastAsia="zh-CN"/>
        </w:rPr>
      </w:pPr>
      <w:r>
        <w:rPr>
          <w:rFonts w:hint="eastAsia"/>
          <w:b/>
          <w:color w:val="333333"/>
          <w:sz w:val="21"/>
          <w:szCs w:val="21"/>
          <w:lang w:eastAsia="zh-CN"/>
        </w:rPr>
        <w:t>第四单元：工作管理－分工与授权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一. 管理者从控制者转变为支持者</w:t>
      </w:r>
    </w:p>
    <w:p>
      <w:pPr>
        <w:pStyle w:val="5"/>
        <w:numPr>
          <w:ilvl w:val="1"/>
          <w:numId w:val="10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授权对组织的意义</w:t>
      </w:r>
    </w:p>
    <w:p>
      <w:pPr>
        <w:pStyle w:val="5"/>
        <w:numPr>
          <w:ilvl w:val="1"/>
          <w:numId w:val="10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授权的六项要件</w:t>
      </w:r>
    </w:p>
    <w:p>
      <w:pPr>
        <w:pStyle w:val="5"/>
        <w:numPr>
          <w:ilvl w:val="1"/>
          <w:numId w:val="10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授权的内涵与准则</w:t>
      </w:r>
    </w:p>
    <w:p>
      <w:pPr>
        <w:pStyle w:val="5"/>
        <w:numPr>
          <w:ilvl w:val="1"/>
          <w:numId w:val="10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合理的分权与有效的授权</w:t>
      </w:r>
    </w:p>
    <w:p>
      <w:pPr>
        <w:pStyle w:val="5"/>
        <w:numPr>
          <w:ilvl w:val="1"/>
          <w:numId w:val="10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授权的要点</w:t>
      </w:r>
    </w:p>
    <w:p>
      <w:pPr>
        <w:pStyle w:val="5"/>
        <w:numPr>
          <w:ilvl w:val="1"/>
          <w:numId w:val="10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授权的要点与模式</w:t>
      </w:r>
    </w:p>
    <w:p>
      <w:pPr>
        <w:pStyle w:val="5"/>
        <w:numPr>
          <w:ilvl w:val="1"/>
          <w:numId w:val="10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清楚界定员工的职权利</w:t>
      </w:r>
    </w:p>
    <w:p>
      <w:pPr>
        <w:pStyle w:val="5"/>
        <w:numPr>
          <w:ilvl w:val="1"/>
          <w:numId w:val="10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授权后，员工承担的责任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二. 如何进行有效授权</w:t>
      </w:r>
    </w:p>
    <w:p>
      <w:pPr>
        <w:pStyle w:val="5"/>
        <w:numPr>
          <w:ilvl w:val="0"/>
          <w:numId w:val="11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有效授权八个指导原则</w:t>
      </w:r>
    </w:p>
    <w:p>
      <w:pPr>
        <w:pStyle w:val="5"/>
        <w:numPr>
          <w:ilvl w:val="0"/>
          <w:numId w:val="1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确保受权者有能力承担</w:t>
      </w:r>
    </w:p>
    <w:p>
      <w:pPr>
        <w:pStyle w:val="5"/>
        <w:numPr>
          <w:ilvl w:val="0"/>
          <w:numId w:val="1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提供必要的训练与资源</w:t>
      </w:r>
    </w:p>
    <w:p>
      <w:pPr>
        <w:pStyle w:val="5"/>
        <w:numPr>
          <w:ilvl w:val="0"/>
          <w:numId w:val="1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明确说明对受权者期望结果</w:t>
      </w:r>
    </w:p>
    <w:p>
      <w:pPr>
        <w:pStyle w:val="5"/>
        <w:numPr>
          <w:ilvl w:val="0"/>
          <w:numId w:val="1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确保受权者知道绩效衡量指标</w:t>
      </w:r>
    </w:p>
    <w:p>
      <w:pPr>
        <w:pStyle w:val="5"/>
        <w:numPr>
          <w:ilvl w:val="0"/>
          <w:numId w:val="1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透过会议报告控制进度监督进展</w:t>
      </w:r>
    </w:p>
    <w:p>
      <w:pPr>
        <w:pStyle w:val="5"/>
        <w:numPr>
          <w:ilvl w:val="0"/>
          <w:numId w:val="1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大胆放手,出问题立即纠正</w:t>
      </w:r>
    </w:p>
    <w:p>
      <w:pPr>
        <w:pStyle w:val="5"/>
        <w:numPr>
          <w:ilvl w:val="0"/>
          <w:numId w:val="1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需要介入时及时介入(收权)</w:t>
      </w:r>
    </w:p>
    <w:p>
      <w:pPr>
        <w:pStyle w:val="5"/>
        <w:numPr>
          <w:ilvl w:val="0"/>
          <w:numId w:val="12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视情况奖励,赋予更大权力</w:t>
      </w:r>
    </w:p>
    <w:p>
      <w:pPr>
        <w:pStyle w:val="5"/>
        <w:numPr>
          <w:ilvl w:val="0"/>
          <w:numId w:val="13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授权的要点与流程</w:t>
      </w:r>
    </w:p>
    <w:p>
      <w:pPr>
        <w:pStyle w:val="5"/>
        <w:numPr>
          <w:ilvl w:val="0"/>
          <w:numId w:val="13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授权工作的展开</w:t>
      </w:r>
    </w:p>
    <w:p>
      <w:pPr>
        <w:pStyle w:val="5"/>
        <w:numPr>
          <w:ilvl w:val="0"/>
          <w:numId w:val="14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目标设定\结果预测　\沟通与派任\改善与回馈</w:t>
      </w:r>
    </w:p>
    <w:p>
      <w:pPr>
        <w:pStyle w:val="5"/>
        <w:numPr>
          <w:ilvl w:val="0"/>
          <w:numId w:val="15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授权风格</w:t>
      </w:r>
    </w:p>
    <w:p>
      <w:pPr>
        <w:pStyle w:val="5"/>
        <w:spacing w:before="75" w:beforeAutospacing="0" w:after="0" w:afterAutospacing="0" w:line="375" w:lineRule="atLeast"/>
        <w:ind w:left="960" w:leftChars="400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操控型\教练型\顾问型\协调型</w:t>
      </w:r>
    </w:p>
    <w:p>
      <w:pPr>
        <w:pStyle w:val="5"/>
        <w:numPr>
          <w:ilvl w:val="0"/>
          <w:numId w:val="15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不充分授权的几种具体情况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三. 控制授权</w:t>
      </w:r>
    </w:p>
    <w:p>
      <w:pPr>
        <w:pStyle w:val="5"/>
        <w:numPr>
          <w:ilvl w:val="0"/>
          <w:numId w:val="16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控制活动的设计与实施，</w:t>
      </w:r>
    </w:p>
    <w:p>
      <w:pPr>
        <w:pStyle w:val="5"/>
        <w:numPr>
          <w:ilvl w:val="0"/>
          <w:numId w:val="16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控制政策的建立　　</w:t>
      </w:r>
    </w:p>
    <w:p>
      <w:pPr>
        <w:pStyle w:val="5"/>
        <w:numPr>
          <w:ilvl w:val="0"/>
          <w:numId w:val="16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实施与这些政策相符的控制程序　　</w:t>
      </w:r>
    </w:p>
    <w:p>
      <w:pPr>
        <w:pStyle w:val="5"/>
        <w:numPr>
          <w:ilvl w:val="0"/>
          <w:numId w:val="16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确认控制政策被遵从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b/>
          <w:color w:val="333333"/>
          <w:sz w:val="21"/>
          <w:szCs w:val="21"/>
          <w:lang w:eastAsia="zh-CN"/>
        </w:rPr>
      </w:pPr>
      <w:r>
        <w:rPr>
          <w:rFonts w:hint="eastAsia"/>
          <w:b/>
          <w:color w:val="333333"/>
          <w:sz w:val="21"/>
          <w:szCs w:val="21"/>
          <w:lang w:eastAsia="zh-CN"/>
        </w:rPr>
        <w:t>第五单元：</w:t>
      </w:r>
      <w:r>
        <w:rPr>
          <w:b/>
          <w:color w:val="333333"/>
          <w:sz w:val="21"/>
          <w:szCs w:val="21"/>
        </w:rPr>
        <w:fldChar w:fldCharType="begin"/>
      </w:r>
      <w:r>
        <w:rPr>
          <w:b/>
          <w:color w:val="333333"/>
          <w:sz w:val="21"/>
          <w:szCs w:val="21"/>
          <w:lang w:eastAsia="zh-CN"/>
        </w:rPr>
        <w:instrText xml:space="preserve"> HYPERLINK "http://www.gdpx.com.cn/topics/yuangong/" </w:instrText>
      </w:r>
      <w:r>
        <w:rPr>
          <w:b/>
          <w:color w:val="333333"/>
          <w:sz w:val="21"/>
          <w:szCs w:val="21"/>
        </w:rPr>
        <w:fldChar w:fldCharType="separate"/>
      </w:r>
      <w:r>
        <w:rPr>
          <w:rFonts w:hint="eastAsia"/>
          <w:b/>
          <w:color w:val="333333"/>
          <w:sz w:val="21"/>
          <w:szCs w:val="21"/>
          <w:lang w:eastAsia="zh-CN"/>
        </w:rPr>
        <w:t>员工激励</w:t>
      </w:r>
      <w:r>
        <w:rPr>
          <w:b/>
          <w:color w:val="333333"/>
          <w:sz w:val="21"/>
          <w:szCs w:val="21"/>
        </w:rPr>
        <w:fldChar w:fldCharType="end"/>
      </w:r>
      <w:r>
        <w:rPr>
          <w:rFonts w:hint="eastAsia"/>
          <w:b/>
          <w:color w:val="333333"/>
          <w:sz w:val="21"/>
          <w:szCs w:val="21"/>
          <w:lang w:eastAsia="zh-CN"/>
        </w:rPr>
        <w:t>与部属培育　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一、 员工激励技巧</w:t>
      </w:r>
    </w:p>
    <w:p>
      <w:pPr>
        <w:pStyle w:val="5"/>
        <w:numPr>
          <w:ilvl w:val="0"/>
          <w:numId w:val="17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赢家用人之道</w:t>
      </w:r>
    </w:p>
    <w:p>
      <w:pPr>
        <w:pStyle w:val="5"/>
        <w:numPr>
          <w:ilvl w:val="0"/>
          <w:numId w:val="17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自我启发的重要性</w:t>
      </w:r>
    </w:p>
    <w:p>
      <w:pPr>
        <w:pStyle w:val="5"/>
        <w:numPr>
          <w:ilvl w:val="0"/>
          <w:numId w:val="17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了解激励与激励他人</w:t>
      </w:r>
    </w:p>
    <w:p>
      <w:pPr>
        <w:pStyle w:val="5"/>
        <w:numPr>
          <w:ilvl w:val="0"/>
          <w:numId w:val="17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部属的需求分析</w:t>
      </w:r>
    </w:p>
    <w:p>
      <w:pPr>
        <w:pStyle w:val="5"/>
        <w:numPr>
          <w:ilvl w:val="0"/>
          <w:numId w:val="17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部属的个性分析</w:t>
      </w:r>
    </w:p>
    <w:p>
      <w:pPr>
        <w:pStyle w:val="5"/>
        <w:numPr>
          <w:ilvl w:val="0"/>
          <w:numId w:val="17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部属的情绪掌握</w:t>
      </w:r>
    </w:p>
    <w:p>
      <w:pPr>
        <w:pStyle w:val="5"/>
        <w:numPr>
          <w:ilvl w:val="0"/>
          <w:numId w:val="17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部属的心态分析</w:t>
      </w:r>
    </w:p>
    <w:p>
      <w:pPr>
        <w:pStyle w:val="5"/>
        <w:numPr>
          <w:ilvl w:val="0"/>
          <w:numId w:val="17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正面激励部属的要点</w:t>
      </w:r>
    </w:p>
    <w:p>
      <w:pPr>
        <w:pStyle w:val="5"/>
        <w:numPr>
          <w:ilvl w:val="0"/>
          <w:numId w:val="17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激励的程序与障碍</w:t>
      </w:r>
    </w:p>
    <w:p>
      <w:pPr>
        <w:pStyle w:val="5"/>
        <w:numPr>
          <w:ilvl w:val="0"/>
          <w:numId w:val="17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有效的激励技巧</w:t>
      </w:r>
    </w:p>
    <w:p>
      <w:pPr>
        <w:pStyle w:val="5"/>
        <w:numPr>
          <w:ilvl w:val="0"/>
          <w:numId w:val="17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组织激励的要点</w:t>
      </w:r>
    </w:p>
    <w:p>
      <w:pPr>
        <w:pStyle w:val="5"/>
        <w:numPr>
          <w:ilvl w:val="0"/>
          <w:numId w:val="17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工作激励的要点</w:t>
      </w:r>
    </w:p>
    <w:p>
      <w:pPr>
        <w:pStyle w:val="5"/>
        <w:numPr>
          <w:ilvl w:val="0"/>
          <w:numId w:val="17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管理的机能性激励</w:t>
      </w:r>
    </w:p>
    <w:p>
      <w:pPr>
        <w:pStyle w:val="5"/>
        <w:numPr>
          <w:ilvl w:val="0"/>
          <w:numId w:val="17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激励管理的特性与功能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二、 部属培育的要点与步骤</w:t>
      </w:r>
    </w:p>
    <w:p>
      <w:pPr>
        <w:pStyle w:val="5"/>
        <w:numPr>
          <w:ilvl w:val="0"/>
          <w:numId w:val="18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部属培育的基本步骤</w:t>
      </w:r>
    </w:p>
    <w:p>
      <w:pPr>
        <w:pStyle w:val="5"/>
        <w:numPr>
          <w:ilvl w:val="0"/>
          <w:numId w:val="18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部属培育的三大支柱→OJT、OFF-JT、SD</w:t>
      </w:r>
    </w:p>
    <w:p>
      <w:pPr>
        <w:pStyle w:val="5"/>
        <w:numPr>
          <w:ilvl w:val="0"/>
          <w:numId w:val="18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明示培育目标→OJT的基本理念的建构</w:t>
      </w:r>
    </w:p>
    <w:p>
      <w:pPr>
        <w:pStyle w:val="5"/>
        <w:numPr>
          <w:ilvl w:val="0"/>
          <w:numId w:val="18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掌握培育的要点→如何实施OJT面谈</w:t>
      </w:r>
    </w:p>
    <w:p>
      <w:pPr>
        <w:pStyle w:val="5"/>
        <w:numPr>
          <w:ilvl w:val="0"/>
          <w:numId w:val="18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制定训练计划→如何拟订OJT训练计划</w:t>
      </w:r>
    </w:p>
    <w:p>
      <w:pPr>
        <w:pStyle w:val="5"/>
        <w:numPr>
          <w:ilvl w:val="0"/>
          <w:numId w:val="18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训练的实施→如何做好工作教导</w:t>
      </w:r>
    </w:p>
    <w:p>
      <w:pPr>
        <w:pStyle w:val="5"/>
        <w:numPr>
          <w:ilvl w:val="0"/>
          <w:numId w:val="18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成果的评估→OJT的推动与效果的评估</w:t>
      </w:r>
    </w:p>
    <w:p>
      <w:pPr>
        <w:pStyle w:val="5"/>
        <w:numPr>
          <w:ilvl w:val="0"/>
          <w:numId w:val="19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部属的职涯发展与指导重点</w:t>
      </w:r>
    </w:p>
    <w:p>
      <w:pPr>
        <w:pStyle w:val="5"/>
        <w:numPr>
          <w:ilvl w:val="0"/>
          <w:numId w:val="19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部属培育的成功关键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三、 部属培育的组织价值</w:t>
      </w:r>
    </w:p>
    <w:p>
      <w:pPr>
        <w:pStyle w:val="5"/>
        <w:numPr>
          <w:ilvl w:val="0"/>
          <w:numId w:val="20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三大结合</w:t>
      </w:r>
    </w:p>
    <w:p>
      <w:pPr>
        <w:pStyle w:val="5"/>
        <w:numPr>
          <w:ilvl w:val="0"/>
          <w:numId w:val="14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与公司策略计划结合\与公司组织变革结合\与公司核心竞争力结合</w:t>
      </w:r>
    </w:p>
    <w:p>
      <w:pPr>
        <w:pStyle w:val="5"/>
        <w:numPr>
          <w:ilvl w:val="0"/>
          <w:numId w:val="20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三大价值</w:t>
      </w:r>
    </w:p>
    <w:p>
      <w:pPr>
        <w:pStyle w:val="5"/>
        <w:numPr>
          <w:ilvl w:val="0"/>
          <w:numId w:val="14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提供顾客价值\塑造员工价值\创造组织价值</w:t>
      </w:r>
    </w:p>
    <w:p>
      <w:pPr>
        <w:pStyle w:val="5"/>
        <w:spacing w:before="75" w:beforeAutospacing="0" w:after="0" w:afterAutospacing="0" w:line="375" w:lineRule="atLeast"/>
        <w:rPr>
          <w:rFonts w:hint="eastAsia"/>
          <w:b/>
          <w:color w:val="333333"/>
          <w:sz w:val="21"/>
          <w:szCs w:val="21"/>
          <w:lang w:eastAsia="zh-CN"/>
        </w:rPr>
      </w:pPr>
      <w:r>
        <w:rPr>
          <w:rFonts w:hint="eastAsia"/>
          <w:b/>
          <w:color w:val="333333"/>
          <w:sz w:val="21"/>
          <w:szCs w:val="21"/>
          <w:lang w:eastAsia="zh-CN"/>
        </w:rPr>
        <w:t>第六单元：高效</w:t>
      </w:r>
      <w:r>
        <w:rPr>
          <w:b/>
          <w:color w:val="333333"/>
          <w:sz w:val="21"/>
          <w:szCs w:val="21"/>
        </w:rPr>
        <w:fldChar w:fldCharType="begin"/>
      </w:r>
      <w:r>
        <w:rPr>
          <w:b/>
          <w:color w:val="333333"/>
          <w:sz w:val="21"/>
          <w:szCs w:val="21"/>
          <w:lang w:eastAsia="zh-CN"/>
        </w:rPr>
        <w:instrText xml:space="preserve"> HYPERLINK "http://www.gdpx.com.cn/topics/tuandui/" </w:instrText>
      </w:r>
      <w:r>
        <w:rPr>
          <w:b/>
          <w:color w:val="333333"/>
          <w:sz w:val="21"/>
          <w:szCs w:val="21"/>
        </w:rPr>
        <w:fldChar w:fldCharType="separate"/>
      </w:r>
      <w:r>
        <w:rPr>
          <w:rFonts w:hint="eastAsia"/>
          <w:b/>
          <w:color w:val="333333"/>
          <w:sz w:val="21"/>
          <w:szCs w:val="21"/>
          <w:lang w:eastAsia="zh-CN"/>
        </w:rPr>
        <w:t>团队建设</w:t>
      </w:r>
      <w:r>
        <w:rPr>
          <w:b/>
          <w:color w:val="333333"/>
          <w:sz w:val="21"/>
          <w:szCs w:val="21"/>
        </w:rPr>
        <w:fldChar w:fldCharType="end"/>
      </w:r>
    </w:p>
    <w:p>
      <w:pPr>
        <w:pStyle w:val="5"/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一、 建立高绩效团队</w:t>
      </w:r>
    </w:p>
    <w:p>
      <w:pPr>
        <w:pStyle w:val="5"/>
        <w:numPr>
          <w:ilvl w:val="0"/>
          <w:numId w:val="21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建立团队的5PS</w:t>
      </w:r>
    </w:p>
    <w:p>
      <w:pPr>
        <w:pStyle w:val="5"/>
        <w:numPr>
          <w:ilvl w:val="0"/>
          <w:numId w:val="21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团队的种类与特性</w:t>
      </w:r>
    </w:p>
    <w:p>
      <w:pPr>
        <w:pStyle w:val="5"/>
        <w:numPr>
          <w:ilvl w:val="0"/>
          <w:numId w:val="21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建立高效团队的步骤</w:t>
      </w:r>
    </w:p>
    <w:p>
      <w:pPr>
        <w:pStyle w:val="5"/>
        <w:numPr>
          <w:ilvl w:val="0"/>
          <w:numId w:val="21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团队形成的阶段与策略运用</w:t>
      </w:r>
    </w:p>
    <w:p>
      <w:pPr>
        <w:pStyle w:val="5"/>
        <w:numPr>
          <w:ilvl w:val="0"/>
          <w:numId w:val="21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如何成功走过团队发展的各阶段</w:t>
      </w:r>
    </w:p>
    <w:p>
      <w:pPr>
        <w:pStyle w:val="5"/>
        <w:numPr>
          <w:ilvl w:val="0"/>
          <w:numId w:val="21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建立有效团队的关键要素</w:t>
      </w:r>
    </w:p>
    <w:p>
      <w:pPr>
        <w:pStyle w:val="5"/>
        <w:numPr>
          <w:ilvl w:val="0"/>
          <w:numId w:val="21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有效团队管理的十二项特征</w:t>
      </w:r>
    </w:p>
    <w:p>
      <w:pPr>
        <w:pStyle w:val="5"/>
        <w:numPr>
          <w:ilvl w:val="0"/>
          <w:numId w:val="21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团队共识的凝聚与整合</w:t>
      </w:r>
    </w:p>
    <w:p>
      <w:pPr>
        <w:pStyle w:val="5"/>
        <w:numPr>
          <w:ilvl w:val="0"/>
          <w:numId w:val="21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塑造共同的愿景</w:t>
      </w:r>
    </w:p>
    <w:p>
      <w:pPr>
        <w:pStyle w:val="5"/>
        <w:numPr>
          <w:ilvl w:val="0"/>
          <w:numId w:val="21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强化团队成员价值观的认同</w:t>
      </w:r>
    </w:p>
    <w:p>
      <w:pPr>
        <w:pStyle w:val="5"/>
        <w:numPr>
          <w:ilvl w:val="0"/>
          <w:numId w:val="21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强化组织成员共识</w:t>
      </w:r>
    </w:p>
    <w:p>
      <w:pPr>
        <w:pStyle w:val="5"/>
        <w:numPr>
          <w:ilvl w:val="0"/>
          <w:numId w:val="21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提升团队运作共识、默契与习惯</w:t>
      </w:r>
    </w:p>
    <w:p>
      <w:pPr>
        <w:pStyle w:val="5"/>
        <w:numPr>
          <w:ilvl w:val="0"/>
          <w:numId w:val="21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提高个人及组织团队的行动力</w:t>
      </w:r>
    </w:p>
    <w:p>
      <w:pPr>
        <w:pStyle w:val="5"/>
        <w:numPr>
          <w:ilvl w:val="0"/>
          <w:numId w:val="21"/>
        </w:numPr>
        <w:spacing w:before="75" w:beforeAutospacing="0" w:after="0" w:afterAutospacing="0" w:line="375" w:lineRule="atLeas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消除团队的杀手.</w:t>
      </w:r>
    </w:p>
    <w:p>
      <w:pPr>
        <w:pStyle w:val="5"/>
        <w:numPr>
          <w:ilvl w:val="0"/>
          <w:numId w:val="21"/>
        </w:numPr>
        <w:spacing w:before="0" w:beforeAutospacing="0" w:after="0" w:afterAutospacing="0" w:line="375" w:lineRule="atLeast"/>
        <w:rPr>
          <w:rFonts w:hint="eastAsia"/>
          <w:color w:val="333333"/>
          <w:sz w:val="21"/>
          <w:szCs w:val="21"/>
          <w:lang w:eastAsia="zh-CN"/>
        </w:rPr>
      </w:pPr>
      <w:r>
        <w:rPr>
          <w:rFonts w:hint="eastAsia"/>
          <w:color w:val="333333"/>
          <w:sz w:val="21"/>
          <w:szCs w:val="21"/>
          <w:lang w:eastAsia="zh-CN"/>
        </w:rPr>
        <w:t>创造力与团队的效能精神注入</w:t>
      </w:r>
      <w:r>
        <w:rPr>
          <w:color w:val="333333"/>
          <w:sz w:val="21"/>
          <w:szCs w:val="21"/>
        </w:rPr>
        <w:fldChar w:fldCharType="begin"/>
      </w:r>
      <w:r>
        <w:rPr>
          <w:color w:val="333333"/>
          <w:sz w:val="21"/>
          <w:szCs w:val="21"/>
          <w:lang w:eastAsia="zh-CN"/>
        </w:rPr>
        <w:instrText xml:space="preserve"> HYPERLINK "http://www.gdpx.com.cn/topics/wenhua/" </w:instrText>
      </w:r>
      <w:r>
        <w:rPr>
          <w:color w:val="333333"/>
          <w:sz w:val="21"/>
          <w:szCs w:val="21"/>
        </w:rPr>
        <w:fldChar w:fldCharType="separate"/>
      </w:r>
      <w:r>
        <w:rPr>
          <w:rStyle w:val="8"/>
          <w:rFonts w:hint="eastAsia"/>
          <w:color w:val="0E5CA0"/>
          <w:sz w:val="21"/>
          <w:szCs w:val="21"/>
          <w:lang w:eastAsia="zh-CN"/>
        </w:rPr>
        <w:t>企业文化</w:t>
      </w:r>
      <w:r>
        <w:rPr>
          <w:color w:val="333333"/>
          <w:sz w:val="21"/>
          <w:szCs w:val="21"/>
        </w:rPr>
        <w:fldChar w:fldCharType="end"/>
      </w:r>
    </w:p>
    <w:p>
      <w:pPr>
        <w:pStyle w:val="5"/>
        <w:spacing w:before="75" w:beforeAutospacing="0" w:after="0" w:afterAutospacing="0" w:line="375" w:lineRule="atLeast"/>
        <w:rPr>
          <w:b/>
          <w:color w:val="333333"/>
          <w:sz w:val="21"/>
          <w:szCs w:val="21"/>
          <w:lang w:eastAsia="zh-CN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/>
      </w:rPr>
    </w:pPr>
    <w:r>
      <w:rPr>
        <w:rFonts w:hint="eastAsia"/>
        <w:szCs w:val="21"/>
      </w:rPr>
      <w:t xml:space="preserve"> 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5px;height:15px" o:bullet="t">
        <v:imagedata r:id="rId1" o:title=""/>
      </v:shape>
    </w:pict>
  </w:numPicBullet>
  <w:numPicBullet w:numPicBulletId="1">
    <w:pict>
      <v:shape id="1" type="#_x0000_t75" style="width:15px;height:15px" o:bullet="t">
        <v:imagedata r:id="rId2" o:title=""/>
      </v:shape>
    </w:pict>
  </w:numPicBullet>
  <w:numPicBullet w:numPicBulletId="2">
    <w:pict>
      <v:shape id="2" type="#_x0000_t75" style="width:15px;height:15px" o:bullet="t">
        <v:imagedata r:id="rId3" o:title=""/>
      </v:shape>
    </w:pict>
  </w:numPicBullet>
  <w:numPicBullet w:numPicBulletId="3">
    <w:pict>
      <v:shape id="3" type="#_x0000_t75" style="width:15px;height:15px" o:bullet="t">
        <v:imagedata r:id="rId4" o:title=""/>
      </v:shape>
    </w:pict>
  </w:numPicBullet>
  <w:numPicBullet w:numPicBulletId="4">
    <w:pict>
      <v:shape id="4" type="#_x0000_t75" style="width:15px;height:15px" o:bullet="t">
        <v:imagedata r:id="rId5" o:title=""/>
      </v:shape>
    </w:pict>
  </w:numPicBullet>
  <w:numPicBullet w:numPicBulletId="5">
    <w:pict>
      <v:shape id="5" type="#_x0000_t75" style="width:15px;height:15px" o:bullet="t">
        <v:imagedata r:id="rId6" o:title=""/>
      </v:shape>
    </w:pict>
  </w:numPicBullet>
  <w:numPicBullet w:numPicBulletId="6">
    <w:pict>
      <v:shape id="6" type="#_x0000_t75" style="width:15px;height:15px" o:bullet="t">
        <v:imagedata r:id="rId7" o:title=""/>
      </v:shape>
    </w:pict>
  </w:numPicBullet>
  <w:numPicBullet w:numPicBulletId="7">
    <w:pict>
      <v:shape id="7" type="#_x0000_t75" style="width:15px;height:15px" o:bullet="t">
        <v:imagedata r:id="rId8" o:title=""/>
      </v:shape>
    </w:pict>
  </w:numPicBullet>
  <w:numPicBullet w:numPicBulletId="8">
    <w:pict>
      <v:shape id="8" type="#_x0000_t75" style="width:15px;height:15px" o:bullet="t">
        <v:imagedata r:id="rId9" o:title=""/>
      </v:shape>
    </w:pict>
  </w:numPicBullet>
  <w:numPicBullet w:numPicBulletId="9">
    <w:pict>
      <v:shape id="9" type="#_x0000_t75" style="width:15px;height:15px" o:bullet="t">
        <v:imagedata r:id="rId10" o:title=""/>
      </v:shape>
    </w:pict>
  </w:numPicBullet>
  <w:numPicBullet w:numPicBulletId="10">
    <w:pict>
      <v:shape id="10" type="#_x0000_t75" style="width:15px;height:15px" o:bullet="t">
        <v:imagedata r:id="rId11" o:title=""/>
      </v:shape>
    </w:pict>
  </w:numPicBullet>
  <w:numPicBullet w:numPicBulletId="11">
    <w:pict>
      <v:shape id="11" type="#_x0000_t75" style="width:15px;height:15px" o:bullet="t">
        <v:imagedata r:id="rId12" o:title=""/>
      </v:shape>
    </w:pict>
  </w:numPicBullet>
  <w:numPicBullet w:numPicBulletId="12">
    <w:pict>
      <v:shape id="12" type="#_x0000_t75" style="width:15px;height:15px" o:bullet="t">
        <v:imagedata r:id="rId13" o:title=""/>
      </v:shape>
    </w:pict>
  </w:numPicBullet>
  <w:numPicBullet w:numPicBulletId="13">
    <w:pict>
      <v:shape id="13" type="#_x0000_t75" style="width:15px;height:15px" o:bullet="t">
        <v:imagedata r:id="rId14" o:title=""/>
      </v:shape>
    </w:pict>
  </w:numPicBullet>
  <w:numPicBullet w:numPicBulletId="14">
    <w:pict>
      <v:shape id="14" type="#_x0000_t75" style="width:15px;height:15px" o:bullet="t">
        <v:imagedata r:id="rId15" o:title=""/>
      </v:shape>
    </w:pict>
  </w:numPicBullet>
  <w:numPicBullet w:numPicBulletId="15">
    <w:pict>
      <v:shape id="15" type="#_x0000_t75" style="width:15px;height:15px" o:bullet="t">
        <v:imagedata r:id="rId16" o:title=""/>
      </v:shape>
    </w:pict>
  </w:numPicBullet>
  <w:numPicBullet w:numPicBulletId="16">
    <w:pict>
      <v:shape id="16" type="#_x0000_t75" style="width:15px;height:15px" o:bullet="t">
        <v:imagedata r:id="rId17" o:title=""/>
      </v:shape>
    </w:pict>
  </w:numPicBullet>
  <w:abstractNum w:abstractNumId="0">
    <w:nsid w:val="08251DDE"/>
    <w:multiLevelType w:val="multilevel"/>
    <w:tmpl w:val="08251DDE"/>
    <w:lvl w:ilvl="0" w:tentative="0">
      <w:start w:val="1"/>
      <w:numFmt w:val="bullet"/>
      <w:lvlText w:val=""/>
      <w:lvlPicBulletId w:val="0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">
    <w:nsid w:val="11AE6D38"/>
    <w:multiLevelType w:val="multilevel"/>
    <w:tmpl w:val="11AE6D38"/>
    <w:lvl w:ilvl="0" w:tentative="0">
      <w:start w:val="1"/>
      <w:numFmt w:val="bullet"/>
      <w:lvlText w:val=""/>
      <w:lvlPicBulletId w:val="4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">
    <w:nsid w:val="12F91942"/>
    <w:multiLevelType w:val="multilevel"/>
    <w:tmpl w:val="12F91942"/>
    <w:lvl w:ilvl="0" w:tentative="0">
      <w:start w:val="1"/>
      <w:numFmt w:val="bullet"/>
      <w:lvlText w:val=""/>
      <w:lvlPicBulletId w:val="6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"/>
      <w:lvlPicBulletId w:val="7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1ABC4A6B"/>
    <w:multiLevelType w:val="multilevel"/>
    <w:tmpl w:val="1ABC4A6B"/>
    <w:lvl w:ilvl="0" w:tentative="0">
      <w:start w:val="1"/>
      <w:numFmt w:val="japaneseCounting"/>
      <w:lvlText w:val="%1、"/>
      <w:lvlJc w:val="left"/>
      <w:pPr>
        <w:tabs>
          <w:tab w:val="left" w:pos="885"/>
        </w:tabs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56"/>
        </w:tabs>
        <w:ind w:left="105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6"/>
        </w:tabs>
        <w:ind w:left="1476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6"/>
        </w:tabs>
        <w:ind w:left="189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6"/>
        </w:tabs>
        <w:ind w:left="23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6"/>
        </w:tabs>
        <w:ind w:left="2736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6"/>
        </w:tabs>
        <w:ind w:left="3156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6"/>
        </w:tabs>
        <w:ind w:left="3576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6"/>
        </w:tabs>
        <w:ind w:left="3996" w:hanging="420"/>
      </w:pPr>
    </w:lvl>
  </w:abstractNum>
  <w:abstractNum w:abstractNumId="4">
    <w:nsid w:val="2ACC0A6F"/>
    <w:multiLevelType w:val="multilevel"/>
    <w:tmpl w:val="2ACC0A6F"/>
    <w:lvl w:ilvl="0" w:tentative="0">
      <w:start w:val="1"/>
      <w:numFmt w:val="bullet"/>
      <w:lvlText w:val=""/>
      <w:lvlPicBulletId w:val="12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2CD64BE0"/>
    <w:multiLevelType w:val="multilevel"/>
    <w:tmpl w:val="2CD64BE0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  <w:u w:val="none" w:color="000080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6">
    <w:nsid w:val="3A9D6859"/>
    <w:multiLevelType w:val="multilevel"/>
    <w:tmpl w:val="3A9D6859"/>
    <w:lvl w:ilvl="0" w:tentative="0">
      <w:start w:val="1"/>
      <w:numFmt w:val="bullet"/>
      <w:lvlText w:val=""/>
      <w:lvlPicBulletId w:val="13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">
    <w:nsid w:val="3B463C0B"/>
    <w:multiLevelType w:val="multilevel"/>
    <w:tmpl w:val="3B463C0B"/>
    <w:lvl w:ilvl="0" w:tentative="0">
      <w:start w:val="1"/>
      <w:numFmt w:val="bullet"/>
      <w:lvlText w:val="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8">
    <w:nsid w:val="3C2B7319"/>
    <w:multiLevelType w:val="multilevel"/>
    <w:tmpl w:val="3C2B7319"/>
    <w:lvl w:ilvl="0" w:tentative="0">
      <w:start w:val="1"/>
      <w:numFmt w:val="bullet"/>
      <w:lvlText w:val=""/>
      <w:lvlPicBulletId w:val="8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9">
    <w:nsid w:val="3EB55F46"/>
    <w:multiLevelType w:val="multilevel"/>
    <w:tmpl w:val="3EB55F46"/>
    <w:lvl w:ilvl="0" w:tentative="0">
      <w:start w:val="1"/>
      <w:numFmt w:val="bullet"/>
      <w:lvlText w:val=""/>
      <w:lvlPicBulletId w:val="16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">
    <w:nsid w:val="41D306EA"/>
    <w:multiLevelType w:val="multilevel"/>
    <w:tmpl w:val="41D306EA"/>
    <w:lvl w:ilvl="0" w:tentative="0">
      <w:start w:val="1"/>
      <w:numFmt w:val="bullet"/>
      <w:lvlText w:val=""/>
      <w:lvlPicBulletId w:val="15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1">
    <w:nsid w:val="460450D0"/>
    <w:multiLevelType w:val="multilevel"/>
    <w:tmpl w:val="460450D0"/>
    <w:lvl w:ilvl="0" w:tentative="0">
      <w:start w:val="1"/>
      <w:numFmt w:val="bullet"/>
      <w:lvlText w:val=""/>
      <w:lvlPicBulletId w:val="1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2">
    <w:nsid w:val="489A6D9E"/>
    <w:multiLevelType w:val="multilevel"/>
    <w:tmpl w:val="489A6D9E"/>
    <w:lvl w:ilvl="0" w:tentative="0">
      <w:start w:val="1"/>
      <w:numFmt w:val="bullet"/>
      <w:lvlText w:val=""/>
      <w:lvlPicBulletId w:val="14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3">
    <w:nsid w:val="51A73295"/>
    <w:multiLevelType w:val="multilevel"/>
    <w:tmpl w:val="51A73295"/>
    <w:lvl w:ilvl="0" w:tentative="0">
      <w:start w:val="1"/>
      <w:numFmt w:val="bullet"/>
      <w:lvlText w:val=""/>
      <w:lvlPicBulletId w:val="11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4">
    <w:nsid w:val="5D27663B"/>
    <w:multiLevelType w:val="multilevel"/>
    <w:tmpl w:val="5D27663B"/>
    <w:lvl w:ilvl="0" w:tentative="0">
      <w:start w:val="1"/>
      <w:numFmt w:val="bullet"/>
      <w:lvlText w:val=""/>
      <w:lvlPicBulletId w:val="3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5">
    <w:nsid w:val="61263E72"/>
    <w:multiLevelType w:val="multilevel"/>
    <w:tmpl w:val="61263E72"/>
    <w:lvl w:ilvl="0" w:tentative="0">
      <w:start w:val="1"/>
      <w:numFmt w:val="bullet"/>
      <w:lvlText w:val=""/>
      <w:lvlPicBulletId w:val="2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6">
    <w:nsid w:val="6CAA77F5"/>
    <w:multiLevelType w:val="multilevel"/>
    <w:tmpl w:val="6CAA77F5"/>
    <w:lvl w:ilvl="0" w:tentative="0">
      <w:start w:val="1"/>
      <w:numFmt w:val="bullet"/>
      <w:lvlText w:val=""/>
      <w:lvlPicBulletId w:val="5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7">
    <w:nsid w:val="756E4239"/>
    <w:multiLevelType w:val="multilevel"/>
    <w:tmpl w:val="756E4239"/>
    <w:lvl w:ilvl="0" w:tentative="0">
      <w:start w:val="1"/>
      <w:numFmt w:val="bullet"/>
      <w:lvlText w:val="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18">
    <w:nsid w:val="75F22796"/>
    <w:multiLevelType w:val="multilevel"/>
    <w:tmpl w:val="75F22796"/>
    <w:lvl w:ilvl="0" w:tentative="0">
      <w:start w:val="1"/>
      <w:numFmt w:val="bullet"/>
      <w:lvlText w:val=""/>
      <w:lvlPicBulletId w:val="9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9">
    <w:nsid w:val="7CEA611B"/>
    <w:multiLevelType w:val="multilevel"/>
    <w:tmpl w:val="7CEA611B"/>
    <w:lvl w:ilvl="0" w:tentative="0">
      <w:start w:val="1"/>
      <w:numFmt w:val="bullet"/>
      <w:lvlText w:val=""/>
      <w:lvlPicBulletId w:val="10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0">
    <w:nsid w:val="7E903F27"/>
    <w:multiLevelType w:val="multilevel"/>
    <w:tmpl w:val="7E903F27"/>
    <w:lvl w:ilvl="0" w:tentative="0">
      <w:start w:val="1"/>
      <w:numFmt w:val="bullet"/>
      <w:lvlText w:val="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7"/>
  </w:num>
  <w:num w:numId="5">
    <w:abstractNumId w:val="11"/>
  </w:num>
  <w:num w:numId="6">
    <w:abstractNumId w:val="15"/>
  </w:num>
  <w:num w:numId="7">
    <w:abstractNumId w:val="14"/>
  </w:num>
  <w:num w:numId="8">
    <w:abstractNumId w:val="1"/>
  </w:num>
  <w:num w:numId="9">
    <w:abstractNumId w:val="16"/>
  </w:num>
  <w:num w:numId="10">
    <w:abstractNumId w:val="2"/>
  </w:num>
  <w:num w:numId="11">
    <w:abstractNumId w:val="8"/>
  </w:num>
  <w:num w:numId="12">
    <w:abstractNumId w:val="20"/>
  </w:num>
  <w:num w:numId="13">
    <w:abstractNumId w:val="18"/>
  </w:num>
  <w:num w:numId="14">
    <w:abstractNumId w:val="17"/>
  </w:num>
  <w:num w:numId="15">
    <w:abstractNumId w:val="19"/>
  </w:num>
  <w:num w:numId="16">
    <w:abstractNumId w:val="13"/>
  </w:num>
  <w:num w:numId="17">
    <w:abstractNumId w:val="4"/>
  </w:num>
  <w:num w:numId="18">
    <w:abstractNumId w:val="6"/>
  </w:num>
  <w:num w:numId="19">
    <w:abstractNumId w:val="12"/>
  </w:num>
  <w:num w:numId="20">
    <w:abstractNumId w:val="10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6B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</w:pPr>
    <w:rPr>
      <w:rFonts w:ascii="Arial Unicode MS" w:hAnsi="Arial Unicode MS" w:eastAsia="Arial Unicode MS" w:cs="Arial Unicode MS"/>
      <w:lang w:eastAsia="en-US"/>
    </w:rPr>
  </w:style>
  <w:style w:type="character" w:styleId="8">
    <w:name w:val="Hyperlink"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9" Type="http://schemas.openxmlformats.org/officeDocument/2006/relationships/image" Target="media/image9.png"/><Relationship Id="rId8" Type="http://schemas.openxmlformats.org/officeDocument/2006/relationships/image" Target="media/image8.png"/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7" Type="http://schemas.openxmlformats.org/officeDocument/2006/relationships/image" Target="media/image17.png"/><Relationship Id="rId16" Type="http://schemas.openxmlformats.org/officeDocument/2006/relationships/image" Target="media/image16.png"/><Relationship Id="rId15" Type="http://schemas.openxmlformats.org/officeDocument/2006/relationships/image" Target="media/image15.png"/><Relationship Id="rId14" Type="http://schemas.openxmlformats.org/officeDocument/2006/relationships/image" Target="media/image14.png"/><Relationship Id="rId13" Type="http://schemas.openxmlformats.org/officeDocument/2006/relationships/image" Target="media/image13.png"/><Relationship Id="rId12" Type="http://schemas.openxmlformats.org/officeDocument/2006/relationships/image" Target="media/image12.png"/><Relationship Id="rId11" Type="http://schemas.openxmlformats.org/officeDocument/2006/relationships/image" Target="media/image11.png"/><Relationship Id="rId10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2021-08-05T03:49:54Z</dcterms:created>
  <dc:creator>shizi06</dc:creator>
  <cp:lastModifiedBy>蓉儿</cp:lastModifiedBy>
  <dcterms:modified xsi:type="dcterms:W3CDTF">2021-08-05T03:50:38Z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1B249449B9C04670AD2D97FA951B4DC1</vt:lpwstr>
  </property>
</Properties>
</file>