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5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28"/>
      <w:bookmarkStart w:id="1" w:name="_Toc351046162"/>
      <w:r>
        <w:rPr>
          <w:rFonts w:hint="eastAsia" w:ascii="宋体" w:hAnsi="宋体"/>
          <w:i w:val="0"/>
          <w:color w:val="000080"/>
          <w:sz w:val="44"/>
          <w:szCs w:val="44"/>
        </w:rPr>
        <w:t>职业黄金20年增值培训</w:t>
      </w:r>
      <w:bookmarkEnd w:id="0"/>
      <w:bookmarkEnd w:id="1"/>
    </w:p>
    <w:p>
      <w:pPr>
        <w:rPr>
          <w:rFonts w:hint="eastAsia"/>
        </w:rPr>
      </w:pPr>
    </w:p>
    <w:p>
      <w:pPr>
        <w:rPr>
          <w:rFonts w:hint="eastAsia" w:ascii="宋体" w:hAnsi="宋体" w:cs="Arial"/>
          <w:b/>
        </w:rPr>
      </w:pPr>
      <w:r>
        <w:rPr>
          <w:rFonts w:hint="eastAsia" w:ascii="宋体" w:hAnsi="宋体" w:cs="Arial"/>
          <w:b/>
        </w:rPr>
        <w:t>课程目标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引导学员更好的关注自我，对个人职业生涯和人生智慧再次审视；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从职业品牌建立和职业价值实现的角度出发，获取积极心态、改变消极习惯、激发生命之火、点燃工作中的激情和快乐；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培养感恩和回馈的人际交往习惯，改善人际关系，增强团队凝聚力与和谐氛围；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掌握与上级、同事、客户有效沟通的技巧，由内至外改善职场沟通形象，增强沟通协作效能，提升团队内部融洽度和凝聚力；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正确理解时间管理的观念和价值，掌握相关工具技能，学会合理分配时间，提高工作效率；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学习目标管理的相关理论和方法，能够有效地承接任务指令并转化为个人的工作目标计划，提升任务理解和执行力；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正确认识执行力，检视自身执行不足因素，学习高效执行方法，打造高效现代职业人。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  <w:lang w:bidi="en-US"/>
        </w:rPr>
      </w:pPr>
      <w:r>
        <w:rPr>
          <w:rFonts w:hint="eastAsia" w:ascii="宋体" w:hAnsi="宋体"/>
          <w:b/>
          <w:sz w:val="21"/>
          <w:szCs w:val="21"/>
          <w:lang w:bidi="en-US"/>
        </w:rPr>
        <w:t>课程亮点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结合中年员工的现状，综合运用管理学、心理学、人力资源管理、行为科学、国学等相关知识和原理触发学员感悟；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综合运用讲授、分析测试、游戏互动、视频教学等多种教学方式，并穿插大量现实生活工作中的案例，内容生动有趣且便于学员掌握；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XXXX具备丰富的中年员工服务经验，开发有针对中年员工的专项产品服务，曾帮助某中行中年员工进行过系统化提升辅导；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讲师曾在新加坡、台湾银行工作多年，熟悉银行业务和人员基本情况，并在在包括工商银行、中国银行多家企业进行过几十期类似课程，反响效果良好；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  <w:lang w:bidi="en-US"/>
        </w:rPr>
      </w:pPr>
      <w:r>
        <w:rPr>
          <w:rFonts w:hint="eastAsia" w:ascii="宋体" w:hAnsi="宋体"/>
          <w:b/>
          <w:sz w:val="21"/>
          <w:szCs w:val="21"/>
          <w:lang w:bidi="en-US"/>
        </w:rPr>
        <w:t>课程大纲</w:t>
      </w:r>
    </w:p>
    <w:p>
      <w:pPr>
        <w:pStyle w:val="10"/>
        <w:numPr>
          <w:ilvl w:val="0"/>
          <w:numId w:val="0"/>
        </w:numPr>
        <w:spacing w:before="72" w:after="72" w:line="440" w:lineRule="exact"/>
        <w:ind w:left="420" w:hanging="420"/>
        <w:rPr>
          <w:rFonts w:ascii="宋体" w:hAnsi="宋体" w:eastAsia="宋体"/>
          <w:b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10"/>
        <w:numPr>
          <w:ilvl w:val="0"/>
          <w:numId w:val="0"/>
        </w:numPr>
        <w:spacing w:before="72" w:after="72" w:line="440" w:lineRule="exact"/>
        <w:ind w:left="420" w:hanging="420"/>
        <w:rPr>
          <w:rFonts w:hint="eastAsia"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一、自我了解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了解自己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了解个人特性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认清自己的优势和发展需求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价值观：过去，现在和将来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个人发展的策略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ind w:firstLine="420"/>
        <w:rPr>
          <w:rFonts w:hint="eastAsia" w:ascii="宋体" w:hAnsi="宋体" w:eastAsia="宋体"/>
          <w:b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参与活动：人格树测试分析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如何活得好优雅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健康、兴趣、理财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健康</w:t>
      </w:r>
      <w:r>
        <w:rPr>
          <w:rFonts w:hint="eastAsia" w:ascii="宋体" w:hAnsi="宋体" w:eastAsia="宋体"/>
          <w:sz w:val="21"/>
          <w:szCs w:val="21"/>
        </w:rPr>
        <w:t>与养生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b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健康的作用和内容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b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心态的力量</w:t>
      </w:r>
    </w:p>
    <w:p>
      <w:pPr>
        <w:pStyle w:val="11"/>
        <w:numPr>
          <w:ilvl w:val="0"/>
          <w:numId w:val="6"/>
        </w:numPr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情绪</w:t>
      </w:r>
      <w:r>
        <w:rPr>
          <w:rFonts w:hint="eastAsia" w:ascii="宋体" w:hAnsi="宋体" w:eastAsia="宋体"/>
          <w:sz w:val="21"/>
          <w:szCs w:val="21"/>
        </w:rPr>
        <w:t>对我们的影响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分析问题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调整自我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珍惜</w:t>
      </w:r>
      <w:r>
        <w:rPr>
          <w:rFonts w:hint="eastAsia" w:ascii="宋体" w:hAnsi="宋体" w:eastAsia="宋体"/>
          <w:sz w:val="21"/>
          <w:szCs w:val="21"/>
        </w:rPr>
        <w:t>自己</w:t>
      </w:r>
    </w:p>
    <w:p>
      <w:pPr>
        <w:pStyle w:val="10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情绪管理与压力管理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什么是情绪管理与压力管理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压力的来源</w:t>
      </w:r>
      <w:r>
        <w:rPr>
          <w:rFonts w:hint="eastAsia" w:ascii="宋体" w:hAnsi="宋体" w:eastAsia="宋体"/>
          <w:sz w:val="21"/>
          <w:szCs w:val="21"/>
        </w:rPr>
        <w:t>、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家庭   工作   社会    个人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rPr>
          <w:rFonts w:ascii="宋体" w:hAnsi="宋体" w:eastAsia="宋体"/>
          <w:b/>
          <w:sz w:val="21"/>
          <w:szCs w:val="21"/>
          <w:lang w:eastAsia="zh-CN"/>
        </w:rPr>
      </w:pPr>
      <w:r>
        <w:rPr>
          <w:rFonts w:ascii="宋体" w:hAnsi="宋体" w:eastAsia="宋体"/>
          <w:b/>
          <w:sz w:val="21"/>
          <w:szCs w:val="21"/>
          <w:lang w:eastAsia="zh-CN"/>
        </w:rPr>
        <w:t> 案例分析：选择大于努力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rPr>
          <w:rFonts w:hint="eastAsia" w:ascii="宋体" w:hAnsi="宋体" w:eastAsia="宋体"/>
          <w:b/>
          <w:sz w:val="21"/>
          <w:szCs w:val="21"/>
          <w:lang w:eastAsia="zh-CN"/>
        </w:rPr>
      </w:pPr>
      <w:r>
        <w:rPr>
          <w:rFonts w:ascii="宋体" w:hAnsi="宋体" w:eastAsia="宋体"/>
          <w:b/>
          <w:sz w:val="21"/>
          <w:szCs w:val="21"/>
          <w:lang w:eastAsia="zh-CN"/>
        </w:rPr>
        <w:t> 共同分享：如何走自己的路，获得家庭支持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</w:p>
    <w:p>
      <w:pPr>
        <w:spacing w:line="440" w:lineRule="exact"/>
        <w:rPr>
          <w:rFonts w:hint="eastAsia" w:ascii="宋体" w:hAnsi="宋体"/>
          <w:b/>
          <w:color w:val="FF0000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 xml:space="preserve">二、让生活更有“有效”- 高效沟通技巧  </w:t>
      </w:r>
      <w:r>
        <w:rPr>
          <w:rFonts w:hint="eastAsia" w:ascii="宋体" w:hAnsi="宋体"/>
          <w:b/>
          <w:color w:val="FF0000"/>
          <w:sz w:val="21"/>
          <w:szCs w:val="21"/>
        </w:rPr>
        <w:t xml:space="preserve"> 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脑波与沟通效果 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α</w:t>
      </w:r>
      <w:r>
        <w:rPr>
          <w:rFonts w:hint="eastAsia" w:ascii="宋体" w:hAnsi="宋体" w:eastAsia="宋体"/>
          <w:sz w:val="21"/>
          <w:szCs w:val="21"/>
        </w:rPr>
        <w:t xml:space="preserve"> 波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β</w:t>
      </w:r>
      <w:r>
        <w:rPr>
          <w:rFonts w:hint="eastAsia" w:ascii="宋体" w:hAnsi="宋体" w:eastAsia="宋体"/>
          <w:sz w:val="21"/>
          <w:szCs w:val="21"/>
        </w:rPr>
        <w:t>波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r</w:t>
      </w:r>
      <w:r>
        <w:rPr>
          <w:rFonts w:hint="eastAsia" w:ascii="宋体" w:hAnsi="宋体" w:eastAsia="宋体"/>
          <w:sz w:val="21"/>
          <w:szCs w:val="21"/>
        </w:rPr>
        <w:t xml:space="preserve"> 波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θ</w:t>
      </w:r>
      <w:r>
        <w:rPr>
          <w:rFonts w:hint="eastAsia" w:ascii="宋体" w:hAnsi="宋体" w:eastAsia="宋体"/>
          <w:sz w:val="21"/>
          <w:szCs w:val="21"/>
        </w:rPr>
        <w:t>波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δ</w:t>
      </w:r>
      <w:r>
        <w:rPr>
          <w:rFonts w:hint="eastAsia" w:ascii="宋体" w:hAnsi="宋体" w:eastAsia="宋体"/>
          <w:sz w:val="21"/>
          <w:szCs w:val="21"/>
        </w:rPr>
        <w:t>波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有效沟通技巧</w:t>
      </w:r>
      <w:r>
        <w:rPr>
          <w:rFonts w:hint="eastAsia" w:ascii="宋体" w:hAnsi="宋体" w:eastAsia="宋体"/>
          <w:sz w:val="21"/>
          <w:szCs w:val="21"/>
        </w:rPr>
        <w:t xml:space="preserve"> （传话游戏）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信任是沟通的基础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完整的沟通过程：信息发送、接收、反馈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有效发送信息的技巧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关键的沟通技巧--积极聆听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有效反馈技巧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人际风格沟通技巧</w:t>
      </w:r>
      <w:r>
        <w:rPr>
          <w:rFonts w:hint="eastAsia" w:ascii="宋体" w:hAnsi="宋体" w:eastAsia="宋体"/>
          <w:sz w:val="21"/>
          <w:szCs w:val="21"/>
        </w:rPr>
        <w:t xml:space="preserve"> （人格分析）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人际风格的</w:t>
      </w:r>
      <w:r>
        <w:rPr>
          <w:rFonts w:hint="eastAsia" w:ascii="宋体" w:hAnsi="宋体" w:eastAsia="宋体"/>
          <w:sz w:val="21"/>
          <w:szCs w:val="21"/>
        </w:rPr>
        <w:t>五</w:t>
      </w:r>
      <w:r>
        <w:rPr>
          <w:rFonts w:ascii="宋体" w:hAnsi="宋体" w:eastAsia="宋体"/>
          <w:sz w:val="21"/>
          <w:szCs w:val="21"/>
        </w:rPr>
        <w:t>大分类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各类型人际风格的特征与沟通技巧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各类型人际风格的</w:t>
      </w:r>
      <w:r>
        <w:rPr>
          <w:rFonts w:hint="eastAsia" w:ascii="宋体" w:hAnsi="宋体" w:eastAsia="宋体"/>
          <w:sz w:val="21"/>
          <w:szCs w:val="21"/>
        </w:rPr>
        <w:t>影响力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创造</w:t>
      </w:r>
      <w:r>
        <w:rPr>
          <w:rFonts w:ascii="宋体" w:hAnsi="宋体" w:eastAsia="宋体"/>
          <w:sz w:val="21"/>
          <w:szCs w:val="21"/>
        </w:rPr>
        <w:t>α</w:t>
      </w:r>
      <w:r>
        <w:rPr>
          <w:rFonts w:hint="eastAsia" w:ascii="宋体" w:hAnsi="宋体" w:eastAsia="宋体"/>
          <w:sz w:val="21"/>
          <w:szCs w:val="21"/>
        </w:rPr>
        <w:t>效益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步骤一</w:t>
      </w:r>
      <w:r>
        <w:rPr>
          <w:rFonts w:hint="eastAsia" w:ascii="宋体" w:hAnsi="宋体" w:eastAsia="宋体"/>
          <w:sz w:val="21"/>
          <w:szCs w:val="21"/>
        </w:rPr>
        <w:t xml:space="preserve"> 了解对方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步骤二</w:t>
      </w:r>
      <w:r>
        <w:rPr>
          <w:rFonts w:hint="eastAsia" w:ascii="宋体" w:hAnsi="宋体" w:eastAsia="宋体"/>
          <w:sz w:val="21"/>
          <w:szCs w:val="21"/>
        </w:rPr>
        <w:t xml:space="preserve"> 寻求认同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步骤</w:t>
      </w:r>
      <w:r>
        <w:rPr>
          <w:rFonts w:hint="eastAsia" w:ascii="宋体" w:hAnsi="宋体" w:eastAsia="宋体"/>
          <w:sz w:val="21"/>
          <w:szCs w:val="21"/>
        </w:rPr>
        <w:t>三 适当的赞美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有效的肢体语言</w:t>
      </w:r>
      <w:r>
        <w:rPr>
          <w:rFonts w:hint="eastAsia" w:ascii="宋体" w:hAnsi="宋体" w:eastAsia="宋体"/>
          <w:sz w:val="21"/>
          <w:szCs w:val="21"/>
        </w:rPr>
        <w:t xml:space="preserve"> （</w:t>
      </w:r>
      <w:r>
        <w:rPr>
          <w:rFonts w:ascii="宋体" w:hAnsi="宋体" w:eastAsia="宋体"/>
          <w:sz w:val="21"/>
          <w:szCs w:val="21"/>
        </w:rPr>
        <w:t>肢体语言</w:t>
      </w:r>
      <w:r>
        <w:rPr>
          <w:rFonts w:hint="eastAsia" w:ascii="宋体" w:hAnsi="宋体" w:eastAsia="宋体"/>
          <w:sz w:val="21"/>
          <w:szCs w:val="21"/>
        </w:rPr>
        <w:t>分析与运用）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第一印象：决定性的七秒钟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有效沟通的五种态度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了解</w:t>
      </w:r>
      <w:r>
        <w:rPr>
          <w:rFonts w:ascii="宋体" w:hAnsi="宋体" w:eastAsia="宋体"/>
          <w:sz w:val="21"/>
          <w:szCs w:val="21"/>
        </w:rPr>
        <w:t>肢体语言</w:t>
      </w:r>
      <w:r>
        <w:rPr>
          <w:rFonts w:hint="eastAsia" w:ascii="宋体" w:hAnsi="宋体" w:eastAsia="宋体"/>
          <w:sz w:val="21"/>
          <w:szCs w:val="21"/>
        </w:rPr>
        <w:t>含义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有效利用肢体语言</w:t>
      </w:r>
      <w:r>
        <w:rPr>
          <w:rFonts w:hint="eastAsia" w:ascii="宋体" w:hAnsi="宋体" w:eastAsia="宋体"/>
          <w:sz w:val="21"/>
          <w:szCs w:val="21"/>
        </w:rPr>
        <w:t>含义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说话语气及音色的运用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与上级领导的沟通技巧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如何准确倾听和理解上级指令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如何恰当的提出问题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如何恰当表达自己的意志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汇报工作的五步法则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表达不同看法的五步法则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与同事之间的沟通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委派执行”差异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 对方的能力与意愿甄别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工作的认同度与紧迫度分析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关键技巧训练.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尊重与欣赏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换位思考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知己知彼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沟通话题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养生、健康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亲子、家庭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品味、品牌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可运用沟通的方法（语言、书面、电子传达、其他...）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三、高效执行技术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时间管理   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时间管理的概述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何谓时间管理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时间管理的三种职能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时间管理的关键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走出时间管理的误区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重新检视时间资产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时间管理黄金原则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什么最重要？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时间管理的优先矩阵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紧迫性是指必须立即处理的事情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如何处理ABCD四类事务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高效职业人士工作风范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高效职业人士十五项必备重要原则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目标管理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要事第一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以终为始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善用资源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PDCA</w:t>
      </w:r>
    </w:p>
    <w:p>
      <w:pPr>
        <w:pStyle w:val="10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提升自我执行力的秘密武器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个人的主动性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主动性的九大敌人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抗干扰管理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备忘小技巧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检查清单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对执行力的希望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共同的梦</w:t>
      </w:r>
    </w:p>
    <w:p>
      <w:pPr>
        <w:pStyle w:val="10"/>
        <w:spacing w:before="72" w:after="72" w:line="440" w:lineRule="exact"/>
        <w:rPr>
          <w:rFonts w:hint="eastAsia" w:ascii="宋体" w:hAnsi="宋体" w:eastAsia="宋体" w:cs="Courier New"/>
          <w:color w:val="000000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做一个高效的现代职业人   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目标明确、计划周详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定期回顾人生目标、认识生命与时间的价值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重人性，能变通，积极思考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善用时间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制定你的梦想清单、自我激励</w:t>
      </w:r>
    </w:p>
    <w:p>
      <w:pPr>
        <w:pStyle w:val="11"/>
        <w:numPr>
          <w:ilvl w:val="0"/>
          <w:numId w:val="0"/>
        </w:numPr>
        <w:spacing w:before="72" w:after="72" w:line="440" w:lineRule="exact"/>
        <w:ind w:left="840"/>
        <w:rPr>
          <w:rFonts w:hint="eastAsia" w:ascii="宋体" w:hAnsi="宋体" w:eastAsia="宋体"/>
          <w:sz w:val="21"/>
          <w:szCs w:val="21"/>
        </w:rPr>
      </w:pPr>
    </w:p>
    <w:p>
      <w:pPr>
        <w:pStyle w:val="10"/>
        <w:numPr>
          <w:ilvl w:val="0"/>
          <w:numId w:val="0"/>
        </w:numPr>
        <w:spacing w:before="72" w:after="72" w:line="440" w:lineRule="exact"/>
        <w:ind w:left="420" w:hanging="420"/>
        <w:rPr>
          <w:rStyle w:val="9"/>
          <w:rFonts w:hint="eastAsia" w:ascii="宋体" w:hAnsi="宋体" w:eastAsia="宋体"/>
          <w:b w:val="0"/>
          <w:bCs w:val="0"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四、遇见亮丽的自己</w:t>
      </w:r>
    </w:p>
    <w:p>
      <w:pPr>
        <w:pStyle w:val="10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Style w:val="9"/>
          <w:rFonts w:ascii="宋体" w:hAnsi="宋体" w:eastAsia="宋体"/>
          <w:sz w:val="21"/>
          <w:szCs w:val="21"/>
        </w:rPr>
        <w:t>塑造阳光心态的六大工具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工具之一：主动积极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改变态度：改变不了事情，就改变态度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老板心态：不依赖、不等待、不懈怠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工具之二：坚持不懈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生命是一个过程，成功也是一个过程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注重积极因素，享受过程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在竞争中享受快乐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rPr>
          <w:rFonts w:ascii="宋体" w:hAnsi="宋体" w:eastAsia="宋体"/>
          <w:b/>
          <w:sz w:val="21"/>
          <w:szCs w:val="21"/>
          <w:lang w:eastAsia="zh-CN"/>
        </w:rPr>
      </w:pPr>
      <w:r>
        <w:rPr>
          <w:rFonts w:ascii="宋体" w:hAnsi="宋体" w:eastAsia="宋体"/>
          <w:b/>
          <w:sz w:val="21"/>
          <w:szCs w:val="21"/>
          <w:lang w:eastAsia="zh-CN"/>
        </w:rPr>
        <w:t xml:space="preserve"> 案例分析：如何理解“经历了风雨仍不见彩虹？”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工具之三：把握现在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过去不可重回，未来难以预料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把握今天，活在当下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把握现在，成就未来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hint="eastAsia" w:ascii="宋体" w:hAnsi="宋体" w:eastAsia="宋体"/>
          <w:b w:val="0"/>
          <w:sz w:val="21"/>
          <w:szCs w:val="21"/>
        </w:rPr>
        <w:t>工</w:t>
      </w:r>
      <w:r>
        <w:rPr>
          <w:rStyle w:val="9"/>
          <w:rFonts w:ascii="宋体" w:hAnsi="宋体" w:eastAsia="宋体"/>
          <w:b w:val="0"/>
          <w:sz w:val="21"/>
          <w:szCs w:val="21"/>
        </w:rPr>
        <w:t>具之四：转变自我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不能改变环境就适应环境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不能改变别人就改变自己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学会放弃，学会宽容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rPr>
          <w:rFonts w:ascii="宋体" w:hAnsi="宋体" w:eastAsia="宋体"/>
          <w:b/>
          <w:sz w:val="21"/>
          <w:szCs w:val="21"/>
        </w:rPr>
      </w:pPr>
      <w:r>
        <w:rPr>
          <w:rFonts w:ascii="宋体" w:hAnsi="宋体" w:eastAsia="宋体"/>
          <w:b/>
          <w:sz w:val="21"/>
          <w:szCs w:val="21"/>
        </w:rPr>
        <w:t> 案例分析：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工具之五：心存感恩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充满爱心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心存感恩</w:t>
      </w:r>
    </w:p>
    <w:p>
      <w:pPr>
        <w:pStyle w:val="6"/>
        <w:adjustRightInd w:val="0"/>
        <w:snapToGrid w:val="0"/>
        <w:spacing w:before="0" w:beforeAutospacing="0" w:after="0" w:afterAutospacing="0" w:line="440" w:lineRule="exact"/>
        <w:rPr>
          <w:rFonts w:ascii="宋体" w:hAnsi="宋体" w:eastAsia="宋体"/>
          <w:b/>
          <w:sz w:val="21"/>
          <w:szCs w:val="21"/>
        </w:rPr>
      </w:pPr>
      <w:r>
        <w:rPr>
          <w:rFonts w:ascii="宋体" w:hAnsi="宋体" w:eastAsia="宋体"/>
          <w:b/>
          <w:sz w:val="21"/>
          <w:szCs w:val="21"/>
        </w:rPr>
        <w:t>共同分享：胸怀感恩心</w:t>
      </w:r>
    </w:p>
    <w:p>
      <w:pPr>
        <w:pStyle w:val="11"/>
        <w:spacing w:before="72" w:after="72" w:line="440" w:lineRule="exact"/>
        <w:rPr>
          <w:rFonts w:ascii="宋体" w:hAnsi="宋体" w:eastAsia="宋体"/>
          <w:b/>
          <w:sz w:val="21"/>
          <w:szCs w:val="21"/>
        </w:rPr>
      </w:pPr>
      <w:r>
        <w:rPr>
          <w:rStyle w:val="9"/>
          <w:rFonts w:ascii="宋体" w:hAnsi="宋体" w:eastAsia="宋体"/>
          <w:b w:val="0"/>
          <w:sz w:val="21"/>
          <w:szCs w:val="21"/>
        </w:rPr>
        <w:t>工具之六：合作共赢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欣赏他人，助人为乐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学会分享，团队合作</w:t>
      </w:r>
    </w:p>
    <w:p>
      <w:pPr>
        <w:pStyle w:val="12"/>
        <w:tabs>
          <w:tab w:val="left" w:pos="840"/>
        </w:tabs>
        <w:spacing w:before="72" w:after="72" w:line="440" w:lineRule="exact"/>
        <w:ind w:left="84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爱国爱家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挫败的调适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结论</w:t>
      </w:r>
    </w:p>
    <w:p>
      <w:pPr>
        <w:pStyle w:val="10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活出全新的自我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良好的学习习惯</w:t>
      </w:r>
    </w:p>
    <w:p>
      <w:pPr>
        <w:pStyle w:val="11"/>
        <w:spacing w:before="72" w:after="72" w:line="440" w:lineRule="exac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做好个人质量生活</w:t>
      </w:r>
    </w:p>
    <w:p>
      <w:pPr>
        <w:pStyle w:val="11"/>
        <w:spacing w:before="72" w:after="72" w:line="44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规划完善的银发生活</w:t>
      </w:r>
    </w:p>
    <w:p>
      <w:p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rPr>
          <w:rFonts w:hint="eastAsia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AFF20C"/>
    <w:multiLevelType w:val="singleLevel"/>
    <w:tmpl w:val="C2AFF20C"/>
    <w:lvl w:ilvl="0" w:tentative="0">
      <w:start w:val="1"/>
      <w:numFmt w:val="bullet"/>
      <w:pStyle w:val="3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2">
    <w:nsid w:val="2F2A0DD7"/>
    <w:multiLevelType w:val="multilevel"/>
    <w:tmpl w:val="2F2A0DD7"/>
    <w:lvl w:ilvl="0" w:tentative="0">
      <w:start w:val="1"/>
      <w:numFmt w:val="bullet"/>
      <w:pStyle w:val="11"/>
      <w:lvlText w:val=""/>
      <w:lvlJc w:val="left"/>
      <w:pPr>
        <w:ind w:left="840" w:hanging="420"/>
      </w:pPr>
      <w:rPr>
        <w:rFonts w:hint="default" w:ascii="Wingdings" w:hAnsi="Wingdings"/>
        <w:snapToGrid w:val="0"/>
        <w:color w:val="C0504D"/>
      </w:rPr>
    </w:lvl>
    <w:lvl w:ilvl="1" w:tentative="0">
      <w:start w:val="1"/>
      <w:numFmt w:val="bullet"/>
      <w:lvlText w:val=""/>
      <w:lvlJc w:val="left"/>
      <w:pPr>
        <w:ind w:left="471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513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55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97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39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1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3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652" w:hanging="420"/>
      </w:pPr>
      <w:rPr>
        <w:rFonts w:hint="default" w:ascii="Wingdings" w:hAnsi="Wingdings"/>
      </w:rPr>
    </w:lvl>
  </w:abstractNum>
  <w:abstractNum w:abstractNumId="3">
    <w:nsid w:val="3BD234D1"/>
    <w:multiLevelType w:val="multilevel"/>
    <w:tmpl w:val="3BD234D1"/>
    <w:lvl w:ilvl="0" w:tentative="0">
      <w:start w:val="1"/>
      <w:numFmt w:val="bullet"/>
      <w:pStyle w:val="12"/>
      <w:lvlText w:val=""/>
      <w:lvlJc w:val="left"/>
      <w:pPr>
        <w:ind w:left="1259" w:hanging="420"/>
      </w:pPr>
      <w:rPr>
        <w:rFonts w:hint="default" w:ascii="Wingdings" w:hAnsi="Wingdings"/>
        <w:snapToGrid w:val="0"/>
        <w:color w:val="D99594"/>
        <w:sz w:val="2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47222A80"/>
    <w:multiLevelType w:val="multilevel"/>
    <w:tmpl w:val="47222A8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7CED6994"/>
    <w:multiLevelType w:val="multilevel"/>
    <w:tmpl w:val="7CED6994"/>
    <w:lvl w:ilvl="0" w:tentative="0">
      <w:start w:val="1"/>
      <w:numFmt w:val="bullet"/>
      <w:pStyle w:val="10"/>
      <w:lvlText w:val=""/>
      <w:lvlJc w:val="left"/>
      <w:pPr>
        <w:ind w:left="420" w:hanging="420"/>
      </w:pPr>
      <w:rPr>
        <w:rFonts w:hint="default" w:ascii="Wingdings" w:hAnsi="Wingdings"/>
        <w:snapToGrid w:val="0"/>
        <w:color w:val="94363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5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 2"/>
    <w:basedOn w:val="1"/>
    <w:uiPriority w:val="0"/>
    <w:pPr>
      <w:numPr>
        <w:ilvl w:val="0"/>
        <w:numId w:val="1"/>
      </w:numPr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character" w:styleId="9">
    <w:name w:val="Strong"/>
    <w:qFormat/>
    <w:uiPriority w:val="0"/>
    <w:rPr>
      <w:b/>
      <w:bCs/>
    </w:rPr>
  </w:style>
  <w:style w:type="paragraph" w:customStyle="1" w:styleId="10">
    <w:name w:val="一级列表"/>
    <w:basedOn w:val="1"/>
    <w:next w:val="1"/>
    <w:qFormat/>
    <w:uiPriority w:val="0"/>
    <w:pPr>
      <w:numPr>
        <w:ilvl w:val="0"/>
        <w:numId w:val="2"/>
      </w:numPr>
      <w:adjustRightInd w:val="0"/>
      <w:snapToGrid w:val="0"/>
      <w:spacing w:beforeLines="30" w:afterLines="30" w:line="276" w:lineRule="auto"/>
      <w:jc w:val="both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1">
    <w:name w:val="二级列表"/>
    <w:basedOn w:val="1"/>
    <w:next w:val="3"/>
    <w:qFormat/>
    <w:uiPriority w:val="0"/>
    <w:pPr>
      <w:numPr>
        <w:ilvl w:val="0"/>
        <w:numId w:val="3"/>
      </w:numPr>
      <w:adjustRightInd w:val="0"/>
      <w:snapToGrid w:val="0"/>
      <w:spacing w:beforeLines="30" w:afterLines="30" w:line="276" w:lineRule="auto"/>
      <w:contextualSpacing/>
      <w:jc w:val="both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2">
    <w:name w:val="三级列表"/>
    <w:basedOn w:val="11"/>
    <w:qFormat/>
    <w:uiPriority w:val="0"/>
    <w:pPr>
      <w:numPr>
        <w:ilvl w:val="0"/>
        <w:numId w:val="4"/>
      </w:numPr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2021-08-05T03:54:23Z</dcterms:created>
  <dc:creator>shizi06</dc:creator>
  <cp:lastModifiedBy>蓉儿</cp:lastModifiedBy>
  <dcterms:modified xsi:type="dcterms:W3CDTF">2021-08-05T03:54:34Z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D46677CC03D34E15A12B567353AC2B70</vt:lpwstr>
  </property>
</Properties>
</file>