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5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非人力资源经理的人力资源管理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课程大纲：</w:t>
      </w:r>
    </w:p>
    <w:p>
      <w:pPr>
        <w:shd w:val="clear" w:color="auto" w:fill="59B1F9"/>
        <w:spacing w:line="360" w:lineRule="auto"/>
        <w:rPr>
          <w:rFonts w:ascii="黑体" w:eastAsia="黑体"/>
        </w:rPr>
        <w:sectPr>
          <w:headerReference r:id="rId3" w:type="default"/>
          <w:footerReference r:id="rId4" w:type="default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numPr>
          <w:ilvl w:val="0"/>
          <w:numId w:val="1"/>
        </w:numPr>
        <w:tabs>
          <w:tab w:val="left" w:pos="845"/>
        </w:tabs>
        <w:snapToGrid w:val="0"/>
        <w:spacing w:before="120" w:beforeLines="50"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b/>
          <w:sz w:val="21"/>
          <w:szCs w:val="21"/>
        </w:rPr>
        <w:t>现代企业人力资源管理与开发理念</w:t>
      </w:r>
    </w:p>
    <w:p>
      <w:pPr>
        <w:widowControl w:val="0"/>
        <w:numPr>
          <w:ilvl w:val="1"/>
          <w:numId w:val="2"/>
        </w:numPr>
        <w:adjustRightInd w:val="0"/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现代企业员工管理的总体思路</w:t>
      </w:r>
    </w:p>
    <w:p>
      <w:pPr>
        <w:widowControl w:val="0"/>
        <w:numPr>
          <w:ilvl w:val="1"/>
          <w:numId w:val="2"/>
        </w:numPr>
        <w:adjustRightInd w:val="0"/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现代企业人力资源管理与开发的模式</w:t>
      </w:r>
    </w:p>
    <w:p>
      <w:pPr>
        <w:widowControl w:val="0"/>
        <w:numPr>
          <w:ilvl w:val="0"/>
          <w:numId w:val="1"/>
        </w:numPr>
        <w:tabs>
          <w:tab w:val="left" w:pos="845"/>
        </w:tabs>
        <w:snapToGrid w:val="0"/>
        <w:spacing w:before="120" w:beforeLines="50" w:line="350" w:lineRule="exact"/>
        <w:rPr>
          <w:rFonts w:ascii="PMingLiU" w:hAnsi="PMingLiU"/>
          <w:b/>
          <w:sz w:val="21"/>
          <w:szCs w:val="21"/>
        </w:rPr>
      </w:pPr>
      <w:r>
        <w:rPr>
          <w:rFonts w:hint="eastAsia" w:ascii="PMingLiU" w:hAnsi="PMingLiU"/>
          <w:b/>
          <w:sz w:val="21"/>
          <w:szCs w:val="21"/>
        </w:rPr>
        <w:t>非人力资源经理、主管应如何运用及配合人力资源管理部门</w:t>
      </w:r>
    </w:p>
    <w:p>
      <w:pPr>
        <w:widowControl w:val="0"/>
        <w:numPr>
          <w:ilvl w:val="0"/>
          <w:numId w:val="3"/>
        </w:numPr>
        <w:adjustRightInd w:val="0"/>
        <w:snapToGrid w:val="0"/>
        <w:spacing w:line="350" w:lineRule="exact"/>
        <w:rPr>
          <w:rFonts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遵照现行人事作业流程</w:t>
      </w:r>
    </w:p>
    <w:p>
      <w:pPr>
        <w:widowControl w:val="0"/>
        <w:numPr>
          <w:ilvl w:val="0"/>
          <w:numId w:val="3"/>
        </w:numPr>
        <w:adjustRightInd w:val="0"/>
        <w:snapToGrid w:val="0"/>
        <w:spacing w:line="350" w:lineRule="exact"/>
        <w:rPr>
          <w:rFonts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了解公司人事规章</w:t>
      </w:r>
    </w:p>
    <w:p>
      <w:pPr>
        <w:widowControl w:val="0"/>
        <w:numPr>
          <w:ilvl w:val="0"/>
          <w:numId w:val="3"/>
        </w:numPr>
        <w:adjustRightInd w:val="0"/>
        <w:snapToGrid w:val="0"/>
        <w:spacing w:line="350" w:lineRule="exact"/>
        <w:rPr>
          <w:rFonts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明白人力资源部门的功能</w:t>
      </w:r>
    </w:p>
    <w:p>
      <w:pPr>
        <w:widowControl w:val="0"/>
        <w:numPr>
          <w:ilvl w:val="0"/>
          <w:numId w:val="3"/>
        </w:numPr>
        <w:adjustRightInd w:val="0"/>
        <w:snapToGrid w:val="0"/>
        <w:spacing w:line="350" w:lineRule="exact"/>
        <w:rPr>
          <w:rFonts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公司对人力资源管理的要求</w:t>
      </w:r>
    </w:p>
    <w:p>
      <w:pPr>
        <w:widowControl w:val="0"/>
        <w:numPr>
          <w:ilvl w:val="0"/>
          <w:numId w:val="3"/>
        </w:numPr>
        <w:adjustRightInd w:val="0"/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确定人力资源部门可提供的资源</w:t>
      </w:r>
    </w:p>
    <w:p>
      <w:pPr>
        <w:widowControl w:val="0"/>
        <w:numPr>
          <w:ilvl w:val="0"/>
          <w:numId w:val="4"/>
        </w:numPr>
        <w:tabs>
          <w:tab w:val="left" w:pos="540"/>
          <w:tab w:val="left" w:pos="1440"/>
          <w:tab w:val="clear" w:pos="840"/>
        </w:tabs>
        <w:snapToGrid w:val="0"/>
        <w:spacing w:before="120" w:beforeLines="50" w:line="350" w:lineRule="exact"/>
        <w:ind w:right="-1531" w:hanging="660"/>
        <w:rPr>
          <w:rFonts w:hint="eastAsia" w:ascii="PMingLiU" w:hAnsi="PMingLiU"/>
          <w:b/>
          <w:sz w:val="21"/>
          <w:szCs w:val="21"/>
        </w:rPr>
      </w:pPr>
      <w:r>
        <w:rPr>
          <w:rFonts w:hint="eastAsia" w:ascii="PMingLiU" w:hAnsi="PMingLiU"/>
          <w:b/>
          <w:sz w:val="21"/>
          <w:szCs w:val="21"/>
        </w:rPr>
        <w:t>知人</w:t>
      </w:r>
      <w:r>
        <w:rPr>
          <w:rFonts w:ascii="PMingLiU" w:hAnsi="PMingLiU"/>
          <w:b/>
          <w:sz w:val="21"/>
          <w:szCs w:val="21"/>
        </w:rPr>
        <w:t>-</w:t>
      </w:r>
      <w:r>
        <w:rPr>
          <w:rFonts w:hint="eastAsia" w:ascii="PMingLiU" w:hAnsi="PMingLiU"/>
          <w:b/>
          <w:sz w:val="21"/>
          <w:szCs w:val="21"/>
        </w:rPr>
        <w:t>人际风格</w:t>
      </w:r>
    </w:p>
    <w:p>
      <w:pPr>
        <w:widowControl w:val="0"/>
        <w:numPr>
          <w:ilvl w:val="0"/>
          <w:numId w:val="5"/>
        </w:numPr>
        <w:adjustRightInd w:val="0"/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人际风格的五大分类</w:t>
      </w:r>
    </w:p>
    <w:p>
      <w:pPr>
        <w:widowControl w:val="0"/>
        <w:numPr>
          <w:ilvl w:val="0"/>
          <w:numId w:val="5"/>
        </w:numPr>
        <w:adjustRightInd w:val="0"/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老虎型的特征</w:t>
      </w:r>
    </w:p>
    <w:p>
      <w:pPr>
        <w:widowControl w:val="0"/>
        <w:numPr>
          <w:ilvl w:val="0"/>
          <w:numId w:val="5"/>
        </w:numPr>
        <w:adjustRightInd w:val="0"/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孔雀型的特征</w:t>
      </w:r>
    </w:p>
    <w:p>
      <w:pPr>
        <w:widowControl w:val="0"/>
        <w:numPr>
          <w:ilvl w:val="0"/>
          <w:numId w:val="5"/>
        </w:numPr>
        <w:adjustRightInd w:val="0"/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熊猫型的特征</w:t>
      </w:r>
    </w:p>
    <w:p>
      <w:pPr>
        <w:widowControl w:val="0"/>
        <w:numPr>
          <w:ilvl w:val="0"/>
          <w:numId w:val="5"/>
        </w:numPr>
        <w:adjustRightInd w:val="0"/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猫头鹰型的特征</w:t>
      </w:r>
    </w:p>
    <w:p>
      <w:pPr>
        <w:widowControl w:val="0"/>
        <w:numPr>
          <w:ilvl w:val="0"/>
          <w:numId w:val="5"/>
        </w:numPr>
        <w:adjustRightInd w:val="0"/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变色龙型的特征</w:t>
      </w:r>
    </w:p>
    <w:p>
      <w:pPr>
        <w:widowControl w:val="0"/>
        <w:numPr>
          <w:ilvl w:val="0"/>
          <w:numId w:val="5"/>
        </w:numPr>
        <w:adjustRightInd w:val="0"/>
        <w:snapToGrid w:val="0"/>
        <w:spacing w:line="350" w:lineRule="exact"/>
        <w:rPr>
          <w:rFonts w:hint="eastAsia" w:ascii="PMingLiU" w:hAnsi="PMingLiU"/>
          <w:b/>
          <w:bCs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各类型人际风格的影响力</w:t>
      </w:r>
    </w:p>
    <w:p>
      <w:pPr>
        <w:widowControl w:val="0"/>
        <w:numPr>
          <w:ilvl w:val="0"/>
          <w:numId w:val="1"/>
        </w:numPr>
        <w:tabs>
          <w:tab w:val="left" w:pos="540"/>
          <w:tab w:val="left" w:pos="845"/>
        </w:tabs>
        <w:snapToGrid w:val="0"/>
        <w:spacing w:before="120" w:beforeLines="50" w:line="350" w:lineRule="exact"/>
        <w:rPr>
          <w:rFonts w:hint="eastAsia" w:ascii="PMingLiU" w:hAnsi="PMingLiU"/>
          <w:b/>
          <w:sz w:val="21"/>
          <w:szCs w:val="21"/>
        </w:rPr>
      </w:pPr>
      <w:r>
        <w:rPr>
          <w:rFonts w:hint="eastAsia" w:ascii="PMingLiU" w:hAnsi="PMingLiU"/>
          <w:b/>
          <w:sz w:val="21"/>
          <w:szCs w:val="21"/>
        </w:rPr>
        <w:t>选才：非人力资源经理、主管的人员甄选与面试技能</w:t>
      </w:r>
    </w:p>
    <w:p>
      <w:pPr>
        <w:widowControl w:val="0"/>
        <w:numPr>
          <w:ilvl w:val="0"/>
          <w:numId w:val="4"/>
        </w:numPr>
        <w:tabs>
          <w:tab w:val="left" w:pos="540"/>
          <w:tab w:val="left" w:pos="1440"/>
          <w:tab w:val="clear" w:pos="840"/>
        </w:tabs>
        <w:snapToGrid w:val="0"/>
        <w:spacing w:before="120" w:beforeLines="50" w:line="350" w:lineRule="exact"/>
        <w:ind w:right="-1531" w:hanging="660"/>
        <w:rPr>
          <w:rFonts w:hint="eastAsia" w:ascii="PMingLiU" w:hAnsi="PMingLiU"/>
          <w:b/>
          <w:sz w:val="21"/>
          <w:szCs w:val="21"/>
        </w:rPr>
      </w:pPr>
      <w:r>
        <w:rPr>
          <w:rFonts w:hint="eastAsia" w:ascii="PMingLiU" w:hAnsi="PMingLiU"/>
          <w:b/>
          <w:sz w:val="21"/>
          <w:szCs w:val="21"/>
        </w:rPr>
        <w:t>如何撰写下属的职位说明书</w:t>
      </w:r>
    </w:p>
    <w:p>
      <w:pPr>
        <w:widowControl w:val="0"/>
        <w:numPr>
          <w:ilvl w:val="2"/>
          <w:numId w:val="6"/>
        </w:numPr>
        <w:tabs>
          <w:tab w:val="left" w:pos="900"/>
          <w:tab w:val="left" w:pos="144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专业招聘流程分析</w:t>
      </w:r>
    </w:p>
    <w:p>
      <w:pPr>
        <w:widowControl w:val="0"/>
        <w:numPr>
          <w:ilvl w:val="2"/>
          <w:numId w:val="6"/>
        </w:numPr>
        <w:tabs>
          <w:tab w:val="left" w:pos="900"/>
          <w:tab w:val="left" w:pos="144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基于行为表现上的结构化面试</w:t>
      </w:r>
    </w:p>
    <w:p>
      <w:pPr>
        <w:widowControl w:val="0"/>
        <w:numPr>
          <w:ilvl w:val="2"/>
          <w:numId w:val="6"/>
        </w:numPr>
        <w:tabs>
          <w:tab w:val="left" w:pos="900"/>
          <w:tab w:val="left" w:pos="144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专业的面试与选才技巧</w:t>
      </w:r>
    </w:p>
    <w:p>
      <w:pPr>
        <w:widowControl w:val="0"/>
        <w:numPr>
          <w:ilvl w:val="2"/>
          <w:numId w:val="6"/>
        </w:numPr>
        <w:tabs>
          <w:tab w:val="left" w:pos="900"/>
          <w:tab w:val="left" w:pos="144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案例分析与讨论</w:t>
      </w:r>
    </w:p>
    <w:p>
      <w:pPr>
        <w:widowControl w:val="0"/>
        <w:numPr>
          <w:ilvl w:val="0"/>
          <w:numId w:val="4"/>
        </w:numPr>
        <w:tabs>
          <w:tab w:val="left" w:pos="540"/>
          <w:tab w:val="left" w:pos="1440"/>
          <w:tab w:val="clear" w:pos="840"/>
        </w:tabs>
        <w:snapToGrid w:val="0"/>
        <w:spacing w:before="120" w:beforeLines="50" w:line="350" w:lineRule="exact"/>
        <w:ind w:right="-1531" w:hanging="660"/>
        <w:rPr>
          <w:rFonts w:hint="eastAsia" w:ascii="PMingLiU" w:hAnsi="PMingLiU"/>
          <w:b/>
          <w:sz w:val="21"/>
          <w:szCs w:val="21"/>
        </w:rPr>
      </w:pPr>
      <w:r>
        <w:rPr>
          <w:rFonts w:hint="eastAsia" w:ascii="PMingLiU" w:hAnsi="PMingLiU"/>
          <w:b/>
          <w:sz w:val="21"/>
          <w:szCs w:val="21"/>
        </w:rPr>
        <w:t>高效沟通技巧</w:t>
      </w:r>
    </w:p>
    <w:p>
      <w:pPr>
        <w:widowControl w:val="0"/>
        <w:numPr>
          <w:ilvl w:val="0"/>
          <w:numId w:val="7"/>
        </w:numPr>
        <w:tabs>
          <w:tab w:val="clear" w:pos="1740"/>
        </w:tabs>
        <w:adjustRightInd w:val="0"/>
        <w:snapToGrid w:val="0"/>
        <w:spacing w:line="350" w:lineRule="exact"/>
        <w:ind w:hanging="138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信任是沟通的基础</w:t>
      </w:r>
    </w:p>
    <w:p>
      <w:pPr>
        <w:widowControl w:val="0"/>
        <w:numPr>
          <w:ilvl w:val="0"/>
          <w:numId w:val="7"/>
        </w:numPr>
        <w:tabs>
          <w:tab w:val="clear" w:pos="1740"/>
        </w:tabs>
        <w:adjustRightInd w:val="0"/>
        <w:snapToGrid w:val="0"/>
        <w:spacing w:line="350" w:lineRule="exact"/>
        <w:ind w:hanging="138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完整的沟通过程</w:t>
      </w:r>
    </w:p>
    <w:p>
      <w:pPr>
        <w:widowControl w:val="0"/>
        <w:numPr>
          <w:ilvl w:val="0"/>
          <w:numId w:val="7"/>
        </w:numPr>
        <w:tabs>
          <w:tab w:val="clear" w:pos="1740"/>
        </w:tabs>
        <w:adjustRightInd w:val="0"/>
        <w:snapToGrid w:val="0"/>
        <w:spacing w:line="350" w:lineRule="exact"/>
        <w:ind w:hanging="138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有效发送信息的技巧</w:t>
      </w:r>
    </w:p>
    <w:p>
      <w:pPr>
        <w:widowControl w:val="0"/>
        <w:numPr>
          <w:ilvl w:val="0"/>
          <w:numId w:val="7"/>
        </w:numPr>
        <w:tabs>
          <w:tab w:val="clear" w:pos="1740"/>
        </w:tabs>
        <w:adjustRightInd w:val="0"/>
        <w:snapToGrid w:val="0"/>
        <w:spacing w:line="350" w:lineRule="exact"/>
        <w:ind w:hanging="138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关键的沟通技巧</w:t>
      </w:r>
      <w:r>
        <w:rPr>
          <w:rFonts w:ascii="PMingLiU" w:hAnsi="PMingLiU"/>
          <w:sz w:val="21"/>
          <w:szCs w:val="21"/>
        </w:rPr>
        <w:t>--</w:t>
      </w:r>
      <w:r>
        <w:rPr>
          <w:rFonts w:hint="eastAsia" w:ascii="PMingLiU" w:hAnsi="PMingLiU"/>
          <w:sz w:val="21"/>
          <w:szCs w:val="21"/>
        </w:rPr>
        <w:t>积极聆听</w:t>
      </w:r>
    </w:p>
    <w:p>
      <w:pPr>
        <w:widowControl w:val="0"/>
        <w:numPr>
          <w:ilvl w:val="0"/>
          <w:numId w:val="7"/>
        </w:numPr>
        <w:tabs>
          <w:tab w:val="clear" w:pos="1740"/>
        </w:tabs>
        <w:adjustRightInd w:val="0"/>
        <w:snapToGrid w:val="0"/>
        <w:spacing w:line="350" w:lineRule="exact"/>
        <w:ind w:hanging="138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有效反馈技巧</w:t>
      </w:r>
    </w:p>
    <w:p>
      <w:pPr>
        <w:widowControl w:val="0"/>
        <w:numPr>
          <w:ilvl w:val="1"/>
          <w:numId w:val="7"/>
        </w:numPr>
        <w:tabs>
          <w:tab w:val="left" w:pos="720"/>
          <w:tab w:val="left" w:pos="1380"/>
          <w:tab w:val="left" w:pos="1440"/>
          <w:tab w:val="clear" w:pos="900"/>
        </w:tabs>
        <w:snapToGrid w:val="0"/>
        <w:spacing w:before="120" w:beforeLines="50" w:line="350" w:lineRule="exact"/>
        <w:ind w:left="360" w:right="-1531"/>
        <w:rPr>
          <w:rFonts w:ascii="PMingLiU" w:hAnsi="PMingLiU"/>
          <w:b/>
          <w:sz w:val="21"/>
          <w:szCs w:val="21"/>
        </w:rPr>
      </w:pPr>
      <w:r>
        <w:rPr>
          <w:rFonts w:hint="eastAsia" w:ascii="PMingLiU" w:hAnsi="PMingLiU"/>
          <w:b/>
          <w:sz w:val="21"/>
          <w:szCs w:val="21"/>
        </w:rPr>
        <w:t>育才：下属员工的培训与生涯发展管理辅导</w:t>
      </w:r>
    </w:p>
    <w:p>
      <w:pPr>
        <w:widowControl w:val="0"/>
        <w:numPr>
          <w:ilvl w:val="4"/>
          <w:numId w:val="6"/>
        </w:numPr>
        <w:tabs>
          <w:tab w:val="left" w:pos="900"/>
          <w:tab w:val="left" w:pos="1440"/>
          <w:tab w:val="clear" w:pos="252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员工培训的内容与方法</w:t>
      </w:r>
    </w:p>
    <w:p>
      <w:pPr>
        <w:widowControl w:val="0"/>
        <w:numPr>
          <w:ilvl w:val="4"/>
          <w:numId w:val="6"/>
        </w:numPr>
        <w:tabs>
          <w:tab w:val="left" w:pos="900"/>
          <w:tab w:val="left" w:pos="1440"/>
          <w:tab w:val="clear" w:pos="252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培训工作如何与人力资源部配合</w:t>
      </w:r>
    </w:p>
    <w:p>
      <w:pPr>
        <w:widowControl w:val="0"/>
        <w:numPr>
          <w:ilvl w:val="4"/>
          <w:numId w:val="6"/>
        </w:numPr>
        <w:tabs>
          <w:tab w:val="left" w:pos="900"/>
          <w:tab w:val="left" w:pos="1440"/>
          <w:tab w:val="clear" w:pos="252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如何做下属培训需求分析</w:t>
      </w:r>
    </w:p>
    <w:p>
      <w:pPr>
        <w:widowControl w:val="0"/>
        <w:numPr>
          <w:ilvl w:val="4"/>
          <w:numId w:val="6"/>
        </w:numPr>
        <w:tabs>
          <w:tab w:val="left" w:pos="900"/>
          <w:tab w:val="left" w:pos="1440"/>
          <w:tab w:val="clear" w:pos="252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怎样保证培训效果最大化</w:t>
      </w:r>
    </w:p>
    <w:p>
      <w:pPr>
        <w:widowControl w:val="0"/>
        <w:numPr>
          <w:ilvl w:val="4"/>
          <w:numId w:val="6"/>
        </w:numPr>
        <w:tabs>
          <w:tab w:val="left" w:pos="900"/>
          <w:tab w:val="left" w:pos="1440"/>
          <w:tab w:val="clear" w:pos="252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案例分析与讨论</w:t>
      </w:r>
    </w:p>
    <w:p>
      <w:pPr>
        <w:widowControl w:val="0"/>
        <w:numPr>
          <w:ilvl w:val="4"/>
          <w:numId w:val="6"/>
        </w:numPr>
        <w:tabs>
          <w:tab w:val="left" w:pos="900"/>
          <w:tab w:val="left" w:pos="1440"/>
          <w:tab w:val="clear" w:pos="252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面向企业的职业生涯规划，组织环境分析与发展通道建设</w:t>
      </w:r>
    </w:p>
    <w:p>
      <w:pPr>
        <w:widowControl w:val="0"/>
        <w:numPr>
          <w:ilvl w:val="4"/>
          <w:numId w:val="6"/>
        </w:numPr>
        <w:tabs>
          <w:tab w:val="left" w:pos="900"/>
          <w:tab w:val="left" w:pos="1440"/>
          <w:tab w:val="clear" w:pos="252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面向个人的职业生涯规划，</w:t>
      </w:r>
      <w:r>
        <w:rPr>
          <w:rFonts w:ascii="PMingLiU" w:hAnsi="PMingLiU"/>
          <w:sz w:val="21"/>
          <w:szCs w:val="21"/>
        </w:rPr>
        <w:t xml:space="preserve"> </w:t>
      </w:r>
      <w:r>
        <w:rPr>
          <w:rFonts w:hint="eastAsia" w:ascii="PMingLiU" w:hAnsi="PMingLiU"/>
          <w:sz w:val="21"/>
          <w:szCs w:val="21"/>
        </w:rPr>
        <w:t>个性与个人优势分析，建立正确的职业观</w:t>
      </w:r>
    </w:p>
    <w:p>
      <w:pPr>
        <w:widowControl w:val="0"/>
        <w:numPr>
          <w:ilvl w:val="1"/>
          <w:numId w:val="7"/>
        </w:numPr>
        <w:tabs>
          <w:tab w:val="left" w:pos="720"/>
          <w:tab w:val="left" w:pos="1380"/>
          <w:tab w:val="left" w:pos="1440"/>
          <w:tab w:val="clear" w:pos="900"/>
        </w:tabs>
        <w:snapToGrid w:val="0"/>
        <w:spacing w:before="120" w:beforeLines="50" w:line="350" w:lineRule="exact"/>
        <w:ind w:left="720" w:right="-1531" w:hanging="720"/>
        <w:rPr>
          <w:rFonts w:ascii="PMingLiU" w:hAnsi="PMingLiU"/>
          <w:b/>
          <w:sz w:val="21"/>
          <w:szCs w:val="21"/>
        </w:rPr>
      </w:pPr>
      <w:r>
        <w:rPr>
          <w:rFonts w:hint="eastAsia" w:ascii="PMingLiU" w:hAnsi="PMingLiU"/>
          <w:b/>
          <w:sz w:val="21"/>
          <w:szCs w:val="21"/>
        </w:rPr>
        <w:t>团队管理与有效授权</w:t>
      </w:r>
    </w:p>
    <w:p>
      <w:pPr>
        <w:widowControl w:val="0"/>
        <w:numPr>
          <w:ilvl w:val="6"/>
          <w:numId w:val="6"/>
        </w:numPr>
        <w:tabs>
          <w:tab w:val="clear" w:pos="336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团体成员选择，团队核心能力在哪</w:t>
      </w:r>
    </w:p>
    <w:p>
      <w:pPr>
        <w:widowControl w:val="0"/>
        <w:numPr>
          <w:ilvl w:val="6"/>
          <w:numId w:val="6"/>
        </w:numPr>
        <w:tabs>
          <w:tab w:val="clear" w:pos="336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有效运作团队的工作方式与特点，</w:t>
      </w:r>
    </w:p>
    <w:p>
      <w:pPr>
        <w:widowControl w:val="0"/>
        <w:numPr>
          <w:ilvl w:val="6"/>
          <w:numId w:val="6"/>
        </w:numPr>
        <w:tabs>
          <w:tab w:val="clear" w:pos="336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情境领导与领导风格匹配、冲突解决</w:t>
      </w:r>
    </w:p>
    <w:p>
      <w:pPr>
        <w:widowControl w:val="0"/>
        <w:numPr>
          <w:ilvl w:val="6"/>
          <w:numId w:val="6"/>
        </w:numPr>
        <w:tabs>
          <w:tab w:val="clear" w:pos="336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有效授权的要素、如何有效授权</w:t>
      </w:r>
    </w:p>
    <w:p>
      <w:pPr>
        <w:widowControl w:val="0"/>
        <w:numPr>
          <w:ilvl w:val="6"/>
          <w:numId w:val="6"/>
        </w:numPr>
        <w:tabs>
          <w:tab w:val="clear" w:pos="336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授权与监控、授权的全流程把握</w:t>
      </w:r>
    </w:p>
    <w:p>
      <w:pPr>
        <w:widowControl w:val="0"/>
        <w:numPr>
          <w:ilvl w:val="6"/>
          <w:numId w:val="6"/>
        </w:numPr>
        <w:tabs>
          <w:tab w:val="clear" w:pos="3360"/>
        </w:tabs>
        <w:snapToGrid w:val="0"/>
        <w:spacing w:line="350" w:lineRule="exact"/>
        <w:ind w:left="900" w:hanging="54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现场学员企业团队管理问题分析</w:t>
      </w:r>
    </w:p>
    <w:p>
      <w:pPr>
        <w:widowControl w:val="0"/>
        <w:numPr>
          <w:ilvl w:val="1"/>
          <w:numId w:val="7"/>
        </w:numPr>
        <w:tabs>
          <w:tab w:val="left" w:pos="720"/>
          <w:tab w:val="left" w:pos="1440"/>
          <w:tab w:val="clear" w:pos="900"/>
        </w:tabs>
        <w:snapToGrid w:val="0"/>
        <w:spacing w:before="120" w:beforeLines="50" w:line="350" w:lineRule="exact"/>
        <w:ind w:right="-1531" w:hanging="900"/>
        <w:rPr>
          <w:rFonts w:ascii="PMingLiU" w:hAnsi="PMingLiU"/>
          <w:b/>
          <w:sz w:val="21"/>
          <w:szCs w:val="21"/>
        </w:rPr>
      </w:pPr>
      <w:r>
        <w:rPr>
          <w:rFonts w:hint="eastAsia" w:ascii="PMingLiU" w:hAnsi="PMingLiU"/>
          <w:b/>
          <w:sz w:val="21"/>
          <w:szCs w:val="21"/>
        </w:rPr>
        <w:t>用才：员工任务设定与绩效管理</w:t>
      </w:r>
    </w:p>
    <w:p>
      <w:pPr>
        <w:widowControl w:val="0"/>
        <w:numPr>
          <w:ilvl w:val="1"/>
          <w:numId w:val="1"/>
        </w:numPr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如何为下属设定工作任务</w:t>
      </w:r>
    </w:p>
    <w:p>
      <w:pPr>
        <w:widowControl w:val="0"/>
        <w:numPr>
          <w:ilvl w:val="1"/>
          <w:numId w:val="1"/>
        </w:numPr>
        <w:tabs>
          <w:tab w:val="left" w:pos="1440"/>
        </w:tabs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工作指责与工作目标的关系</w:t>
      </w:r>
    </w:p>
    <w:p>
      <w:pPr>
        <w:widowControl w:val="0"/>
        <w:numPr>
          <w:ilvl w:val="1"/>
          <w:numId w:val="1"/>
        </w:numPr>
        <w:tabs>
          <w:tab w:val="left" w:pos="1440"/>
        </w:tabs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绩效管理的流程</w:t>
      </w:r>
    </w:p>
    <w:p>
      <w:pPr>
        <w:widowControl w:val="0"/>
        <w:numPr>
          <w:ilvl w:val="1"/>
          <w:numId w:val="1"/>
        </w:numPr>
        <w:tabs>
          <w:tab w:val="left" w:pos="1440"/>
        </w:tabs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如何做绩效面谈与辅导</w:t>
      </w:r>
    </w:p>
    <w:p>
      <w:pPr>
        <w:widowControl w:val="0"/>
        <w:numPr>
          <w:ilvl w:val="1"/>
          <w:numId w:val="1"/>
        </w:numPr>
        <w:tabs>
          <w:tab w:val="left" w:pos="1440"/>
        </w:tabs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案例分析与讨论</w:t>
      </w:r>
    </w:p>
    <w:p>
      <w:pPr>
        <w:widowControl w:val="0"/>
        <w:numPr>
          <w:ilvl w:val="1"/>
          <w:numId w:val="7"/>
        </w:numPr>
        <w:tabs>
          <w:tab w:val="left" w:pos="540"/>
          <w:tab w:val="left" w:pos="1380"/>
          <w:tab w:val="clear" w:pos="900"/>
        </w:tabs>
        <w:snapToGrid w:val="0"/>
        <w:spacing w:line="350" w:lineRule="exact"/>
        <w:ind w:hanging="900"/>
        <w:rPr>
          <w:rFonts w:ascii="PMingLiU" w:hAnsi="PMingLiU"/>
          <w:b/>
          <w:bCs/>
          <w:sz w:val="21"/>
          <w:szCs w:val="21"/>
        </w:rPr>
      </w:pPr>
      <w:r>
        <w:rPr>
          <w:rFonts w:ascii="PMingLiU" w:hAnsi="PMingLiU"/>
          <w:b/>
          <w:sz w:val="21"/>
          <w:szCs w:val="21"/>
        </w:rPr>
        <w:t xml:space="preserve"> </w:t>
      </w:r>
      <w:r>
        <w:rPr>
          <w:rFonts w:hint="eastAsia" w:ascii="PMingLiU" w:hAnsi="PMingLiU"/>
          <w:b/>
          <w:bCs/>
          <w:sz w:val="21"/>
          <w:szCs w:val="21"/>
        </w:rPr>
        <w:t>留才：如何激励与留住员工</w:t>
      </w:r>
    </w:p>
    <w:p>
      <w:pPr>
        <w:widowControl w:val="0"/>
        <w:numPr>
          <w:ilvl w:val="1"/>
          <w:numId w:val="8"/>
        </w:numPr>
        <w:tabs>
          <w:tab w:val="left" w:pos="1260"/>
          <w:tab w:val="left" w:pos="1440"/>
        </w:tabs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员工个人需求特征</w:t>
      </w:r>
    </w:p>
    <w:p>
      <w:pPr>
        <w:widowControl w:val="0"/>
        <w:numPr>
          <w:ilvl w:val="1"/>
          <w:numId w:val="8"/>
        </w:numPr>
        <w:tabs>
          <w:tab w:val="left" w:pos="1260"/>
          <w:tab w:val="left" w:pos="1440"/>
        </w:tabs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员工激励系统设计与完善</w:t>
      </w:r>
    </w:p>
    <w:p>
      <w:pPr>
        <w:widowControl w:val="0"/>
        <w:numPr>
          <w:ilvl w:val="1"/>
          <w:numId w:val="8"/>
        </w:numPr>
        <w:tabs>
          <w:tab w:val="left" w:pos="1260"/>
          <w:tab w:val="left" w:pos="1440"/>
        </w:tabs>
        <w:snapToGrid w:val="0"/>
        <w:spacing w:line="350" w:lineRule="exact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直线经理主管应掌握的激励技能与方法</w:t>
      </w:r>
    </w:p>
    <w:p>
      <w:pPr>
        <w:widowControl w:val="0"/>
        <w:numPr>
          <w:ilvl w:val="1"/>
          <w:numId w:val="7"/>
        </w:numPr>
        <w:tabs>
          <w:tab w:val="left" w:pos="720"/>
          <w:tab w:val="left" w:pos="1380"/>
          <w:tab w:val="clear" w:pos="900"/>
        </w:tabs>
        <w:snapToGrid w:val="0"/>
        <w:spacing w:line="350" w:lineRule="exact"/>
        <w:ind w:hanging="900"/>
        <w:rPr>
          <w:rFonts w:hint="eastAsia" w:ascii="PMingLiU" w:hAnsi="PMingLiU"/>
          <w:b/>
          <w:bCs/>
          <w:sz w:val="21"/>
          <w:szCs w:val="21"/>
        </w:rPr>
      </w:pPr>
      <w:r>
        <w:rPr>
          <w:rFonts w:hint="eastAsia" w:ascii="PMingLiU" w:hAnsi="PMingLiU"/>
          <w:b/>
          <w:bCs/>
          <w:sz w:val="21"/>
          <w:szCs w:val="21"/>
        </w:rPr>
        <w:t>员工奖惩与员工关系的处理</w:t>
      </w:r>
      <w:r>
        <w:rPr>
          <w:rFonts w:ascii="PMingLiU" w:hAnsi="PMingLiU"/>
          <w:b/>
          <w:bCs/>
          <w:sz w:val="21"/>
          <w:szCs w:val="21"/>
        </w:rPr>
        <w:t xml:space="preserve"> </w:t>
      </w:r>
    </w:p>
    <w:p>
      <w:pPr>
        <w:widowControl w:val="0"/>
        <w:numPr>
          <w:ilvl w:val="3"/>
          <w:numId w:val="8"/>
        </w:numPr>
        <w:tabs>
          <w:tab w:val="clear" w:pos="1680"/>
        </w:tabs>
        <w:snapToGrid w:val="0"/>
        <w:spacing w:line="350" w:lineRule="exact"/>
        <w:ind w:hanging="132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公司政策与员工关系</w:t>
      </w:r>
      <w:r>
        <w:rPr>
          <w:rFonts w:ascii="PMingLiU" w:hAnsi="PMingLiU"/>
          <w:sz w:val="21"/>
          <w:szCs w:val="21"/>
        </w:rPr>
        <w:t xml:space="preserve"> </w:t>
      </w:r>
    </w:p>
    <w:p>
      <w:pPr>
        <w:widowControl w:val="0"/>
        <w:numPr>
          <w:ilvl w:val="3"/>
          <w:numId w:val="8"/>
        </w:numPr>
        <w:tabs>
          <w:tab w:val="clear" w:pos="1680"/>
        </w:tabs>
        <w:snapToGrid w:val="0"/>
        <w:spacing w:line="350" w:lineRule="exact"/>
        <w:ind w:hanging="1320"/>
        <w:rPr>
          <w:rFonts w:hint="eastAsia" w:ascii="PMingLiU" w:hAnsi="PMingLiU"/>
          <w:sz w:val="21"/>
          <w:szCs w:val="21"/>
        </w:rPr>
      </w:pPr>
      <w:r>
        <w:rPr>
          <w:rFonts w:hint="eastAsia" w:ascii="PMingLiU" w:hAnsi="PMingLiU"/>
          <w:sz w:val="21"/>
          <w:szCs w:val="21"/>
        </w:rPr>
        <w:t>员工争议与诉怨处理</w:t>
      </w:r>
      <w:r>
        <w:rPr>
          <w:rFonts w:ascii="PMingLiU" w:hAnsi="PMingLiU"/>
          <w:sz w:val="21"/>
          <w:szCs w:val="21"/>
        </w:rPr>
        <w:t xml:space="preserve"> </w:t>
      </w:r>
    </w:p>
    <w:p>
      <w:pPr>
        <w:widowControl w:val="0"/>
        <w:numPr>
          <w:ilvl w:val="3"/>
          <w:numId w:val="8"/>
        </w:numPr>
        <w:tabs>
          <w:tab w:val="clear" w:pos="1680"/>
        </w:tabs>
        <w:snapToGrid w:val="0"/>
        <w:spacing w:line="350" w:lineRule="exact"/>
        <w:ind w:hanging="1320"/>
        <w:rPr>
          <w:rFonts w:hint="eastAsia" w:ascii="PMingLiU" w:hAnsi="PMingLiU"/>
          <w:color w:val="000000"/>
          <w:sz w:val="21"/>
          <w:szCs w:val="21"/>
          <w:u w:val="double"/>
        </w:rPr>
      </w:pPr>
      <w:r>
        <w:rPr>
          <w:rFonts w:hint="eastAsia" w:ascii="PMingLiU" w:hAnsi="PMingLiU"/>
          <w:sz w:val="21"/>
          <w:szCs w:val="21"/>
        </w:rPr>
        <w:t>部门内员工的沟通</w:t>
      </w:r>
      <w:r>
        <w:rPr>
          <w:rFonts w:ascii="PMingLiU" w:hAnsi="PMingLiU"/>
          <w:sz w:val="21"/>
          <w:szCs w:val="21"/>
        </w:rPr>
        <w:t xml:space="preserve"> </w:t>
      </w:r>
    </w:p>
    <w:p>
      <w:pPr>
        <w:widowControl w:val="0"/>
        <w:numPr>
          <w:ilvl w:val="3"/>
          <w:numId w:val="8"/>
        </w:numPr>
        <w:tabs>
          <w:tab w:val="clear" w:pos="1680"/>
        </w:tabs>
        <w:snapToGrid w:val="0"/>
        <w:spacing w:line="350" w:lineRule="exact"/>
        <w:ind w:hanging="1320"/>
        <w:rPr>
          <w:rFonts w:hint="eastAsia" w:ascii="PMingLiU" w:hAnsi="PMingLiU"/>
          <w:color w:val="000000"/>
          <w:sz w:val="21"/>
          <w:szCs w:val="21"/>
          <w:u w:val="double"/>
        </w:rPr>
        <w:sectPr>
          <w:headerReference r:id="rId5" w:type="default"/>
          <w:footerReference r:id="rId6" w:type="default"/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  <w:r>
        <w:rPr>
          <w:rFonts w:hint="eastAsia" w:ascii="PMingLiU" w:hAnsi="PMingLiU"/>
          <w:sz w:val="21"/>
          <w:szCs w:val="21"/>
        </w:rPr>
        <w:t>员工入职与离职的访谈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25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26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37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A41A4"/>
    <w:multiLevelType w:val="multilevel"/>
    <w:tmpl w:val="017A41A4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0D7E4183"/>
    <w:multiLevelType w:val="multilevel"/>
    <w:tmpl w:val="0D7E4183"/>
    <w:lvl w:ilvl="0" w:tentative="0">
      <w:start w:val="1"/>
      <w:numFmt w:val="decimal"/>
      <w:lvlText w:val="%1."/>
      <w:lvlJc w:val="left"/>
      <w:pPr>
        <w:tabs>
          <w:tab w:val="left" w:pos="1740"/>
        </w:tabs>
        <w:ind w:left="1740" w:hanging="480"/>
      </w:pPr>
      <w:rPr>
        <w:rFonts w:hint="eastAsia"/>
      </w:rPr>
    </w:lvl>
    <w:lvl w:ilvl="1" w:tentative="0">
      <w:start w:val="4"/>
      <w:numFmt w:val="japaneseCounting"/>
      <w:lvlText w:val="%2、"/>
      <w:lvlJc w:val="left"/>
      <w:pPr>
        <w:tabs>
          <w:tab w:val="left" w:pos="900"/>
        </w:tabs>
        <w:ind w:left="90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entative="0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2">
    <w:nsid w:val="0D924A5D"/>
    <w:multiLevelType w:val="multilevel"/>
    <w:tmpl w:val="0D924A5D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">
    <w:nsid w:val="260D7965"/>
    <w:multiLevelType w:val="multilevel"/>
    <w:tmpl w:val="260D7965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2F992E14"/>
    <w:multiLevelType w:val="multilevel"/>
    <w:tmpl w:val="2F992E14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</w:lvl>
    <w:lvl w:ilvl="1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decimal"/>
      <w:lvlText w:val="%3."/>
      <w:lvlJc w:val="left"/>
      <w:pPr>
        <w:tabs>
          <w:tab w:val="left" w:pos="1680"/>
        </w:tabs>
        <w:ind w:left="1680" w:hanging="420"/>
      </w:pPr>
    </w:lvl>
    <w:lvl w:ilvl="3" w:tentative="0">
      <w:start w:val="1"/>
      <w:numFmt w:val="bullet"/>
      <w:lvlText w:val="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decimal"/>
      <w:lvlText w:val="%5.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bullet"/>
      <w:lvlText w:val="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bullet"/>
      <w:lvlText w:val="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decimal"/>
      <w:lvlText w:val="%9."/>
      <w:lvlJc w:val="left"/>
      <w:pPr>
        <w:tabs>
          <w:tab w:val="left" w:pos="4200"/>
        </w:tabs>
        <w:ind w:left="4200" w:hanging="420"/>
      </w:pPr>
    </w:lvl>
  </w:abstractNum>
  <w:abstractNum w:abstractNumId="5">
    <w:nsid w:val="392173E4"/>
    <w:multiLevelType w:val="multilevel"/>
    <w:tmpl w:val="392173E4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6">
    <w:nsid w:val="64C93B8D"/>
    <w:multiLevelType w:val="multilevel"/>
    <w:tmpl w:val="64C93B8D"/>
    <w:lvl w:ilvl="0" w:tentative="0">
      <w:start w:val="1"/>
      <w:numFmt w:val="chineseCountingThousand"/>
      <w:lvlText w:val="%1、"/>
      <w:lvlJc w:val="left"/>
      <w:pPr>
        <w:tabs>
          <w:tab w:val="left" w:pos="720"/>
        </w:tabs>
        <w:ind w:left="360" w:hanging="36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6A2860B7"/>
    <w:multiLevelType w:val="multilevel"/>
    <w:tmpl w:val="6A2860B7"/>
    <w:lvl w:ilvl="0" w:tentative="0">
      <w:start w:val="1"/>
      <w:numFmt w:val="chineseCountingThousand"/>
      <w:lvlText w:val="%1、"/>
      <w:lvlJc w:val="left"/>
      <w:pPr>
        <w:tabs>
          <w:tab w:val="left" w:pos="720"/>
        </w:tabs>
        <w:ind w:left="360" w:hanging="36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670685"/>
    <w:rsid w:val="49B8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2021-08-05T05:27:23Z</dcterms:created>
  <dc:creator>shizi06</dc:creator>
  <cp:lastModifiedBy>蓉儿</cp:lastModifiedBy>
  <dcterms:modified xsi:type="dcterms:W3CDTF">2021-08-05T05:27:38Z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7DDBA7EC52214FD0BCF2B6C865458EAA</vt:lpwstr>
  </property>
</Properties>
</file>