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宋体" w:hAnsi="宋体" w:cs="宋体"/>
          <w:b/>
          <w:bCs/>
          <w:color w:val="000000"/>
          <w:kern w:val="0"/>
          <w:sz w:val="44"/>
          <w:szCs w:val="44"/>
        </w:rPr>
      </w:pPr>
    </w:p>
    <w:p>
      <w:pPr>
        <w:spacing w:line="560" w:lineRule="exact"/>
        <w:rPr>
          <w:rFonts w:hint="eastAsia" w:ascii="宋体" w:hAnsi="宋体" w:cs="新宋体"/>
          <w:b/>
          <w:bCs/>
          <w:color w:val="000000"/>
          <w:sz w:val="30"/>
          <w:szCs w:val="30"/>
        </w:rPr>
      </w:pPr>
      <w:r>
        <w:rPr>
          <w:rFonts w:hint="eastAsia" w:ascii="宋体" w:hAnsi="宋体" w:cs="宋体"/>
          <w:b/>
          <w:bCs/>
          <w:color w:val="000000"/>
          <w:kern w:val="0"/>
          <w:sz w:val="44"/>
          <w:szCs w:val="44"/>
        </w:rPr>
        <w:t>“三年专项行动背景下--</w:t>
      </w:r>
      <w:r>
        <w:rPr>
          <w:rFonts w:hint="eastAsia" w:ascii="宋体" w:hAnsi="宋体" w:cs="宋体"/>
          <w:b/>
          <w:bCs/>
          <w:color w:val="000000"/>
          <w:kern w:val="0"/>
          <w:sz w:val="44"/>
          <w:szCs w:val="44"/>
          <w:lang w:val="en-US" w:eastAsia="zh-Hans"/>
        </w:rPr>
        <w:t>医疗</w:t>
      </w:r>
      <w:r>
        <w:rPr>
          <w:rFonts w:hint="eastAsia" w:ascii="宋体" w:hAnsi="宋体" w:cs="宋体"/>
          <w:b/>
          <w:bCs/>
          <w:color w:val="000000"/>
          <w:kern w:val="0"/>
          <w:sz w:val="44"/>
          <w:szCs w:val="44"/>
        </w:rPr>
        <w:t>卫生系统政府</w:t>
      </w:r>
      <w:r>
        <w:rPr>
          <w:rFonts w:hint="eastAsia" w:ascii="宋体" w:hAnsi="宋体" w:cs="宋体"/>
          <w:b/>
          <w:bCs/>
          <w:color w:val="000000"/>
          <w:kern w:val="0"/>
          <w:sz w:val="44"/>
          <w:szCs w:val="44"/>
          <w:lang w:val="en-US" w:eastAsia="zh-Hans"/>
        </w:rPr>
        <w:t>采购</w:t>
      </w:r>
      <w:r>
        <w:rPr>
          <w:rFonts w:hint="eastAsia" w:ascii="宋体" w:hAnsi="宋体" w:cs="宋体"/>
          <w:b/>
          <w:bCs/>
          <w:color w:val="000000"/>
          <w:kern w:val="0"/>
          <w:sz w:val="44"/>
          <w:szCs w:val="44"/>
        </w:rPr>
        <w:t>与非招标采购方式、医用耗材管理实务操作及法律风险防范、审计监督管理专题研修班”</w:t>
      </w:r>
    </w:p>
    <w:p>
      <w:pPr>
        <w:spacing w:line="560" w:lineRule="exact"/>
        <w:rPr>
          <w:rFonts w:hint="eastAsia" w:ascii="宋体" w:hAnsi="宋体" w:cs="新宋体"/>
          <w:b/>
          <w:bCs/>
          <w:color w:val="000000"/>
          <w:sz w:val="30"/>
          <w:szCs w:val="30"/>
        </w:rPr>
      </w:pPr>
    </w:p>
    <w:p>
      <w:pPr>
        <w:spacing w:line="560" w:lineRule="exact"/>
        <w:rPr>
          <w:rFonts w:ascii="宋体" w:hAnsi="宋体" w:cs="新宋体"/>
          <w:b/>
          <w:bCs/>
          <w:color w:val="000000"/>
          <w:sz w:val="30"/>
          <w:szCs w:val="30"/>
        </w:rPr>
      </w:pPr>
      <w:r>
        <w:rPr>
          <w:rFonts w:hint="eastAsia" w:ascii="宋体" w:hAnsi="宋体" w:cs="新宋体"/>
          <w:b/>
          <w:bCs/>
          <w:color w:val="000000"/>
          <w:sz w:val="30"/>
          <w:szCs w:val="30"/>
        </w:rPr>
        <w:t>各有关单位：</w:t>
      </w:r>
    </w:p>
    <w:p>
      <w:pPr>
        <w:pStyle w:val="2"/>
        <w:spacing w:line="560" w:lineRule="exact"/>
        <w:ind w:firstLine="600" w:firstLineChars="200"/>
        <w:rPr>
          <w:rFonts w:hint="eastAsia" w:cs="新宋体"/>
          <w:color w:val="000000"/>
          <w:kern w:val="2"/>
          <w:sz w:val="30"/>
          <w:szCs w:val="30"/>
        </w:rPr>
      </w:pPr>
      <w:r>
        <w:rPr>
          <w:rFonts w:hint="eastAsia" w:cs="新宋体"/>
          <w:color w:val="000000"/>
          <w:kern w:val="2"/>
          <w:sz w:val="30"/>
          <w:szCs w:val="30"/>
        </w:rPr>
        <w:t>新到来的2021年是“十四五规划”的开局之年，为深入贯彻党的十九大精神，落实全面从严治党要求，防止卫生健康系统政府采购工作违法违规违纪问题发生，建立健全风险防控机制，完善政府采购监管长效机制，根据《国家卫生健康委办公厅关于全面落实规范和加强政府采购管理三年专项行动工作的通知》全国各地卫生系统已陆续发布行动方案并有序实施。另外随着医疗卫生系统的招标采购工作日益增多，非政府招标采购方式及医用耗材管理实务操作是各医疗单位常用且尤其关心的问题。为帮助全国医疗卫生单位更好的落实并有效推进“三年专项行动”，保障招标从业人员及监督管理人员在招标采购及评标活动中依法组织实施，提高管理技能和实务操作水平，避免招标环节出现问题,掌握招投标监督管理的内容、程序和方法，提高监督能力和质量，保证招标工作规范进行。</w:t>
      </w:r>
    </w:p>
    <w:p>
      <w:pPr>
        <w:pStyle w:val="2"/>
        <w:spacing w:line="560" w:lineRule="exact"/>
        <w:ind w:firstLine="600" w:firstLineChars="200"/>
        <w:rPr>
          <w:rFonts w:hint="eastAsia" w:cs="新宋体"/>
          <w:color w:val="000000"/>
          <w:kern w:val="2"/>
          <w:sz w:val="30"/>
          <w:szCs w:val="30"/>
        </w:rPr>
      </w:pPr>
      <w:r>
        <w:rPr>
          <w:rFonts w:hint="eastAsia" w:cs="新宋体"/>
          <w:color w:val="000000"/>
          <w:kern w:val="2"/>
          <w:sz w:val="30"/>
          <w:szCs w:val="30"/>
          <w:lang w:val="en-US" w:eastAsia="zh-Hans"/>
        </w:rPr>
        <w:t>我单位</w:t>
      </w:r>
      <w:r>
        <w:rPr>
          <w:rFonts w:hint="eastAsia" w:cs="新宋体"/>
          <w:color w:val="000000"/>
          <w:kern w:val="2"/>
          <w:sz w:val="30"/>
          <w:szCs w:val="30"/>
        </w:rPr>
        <w:t>决定举办“三年专项行动背景下--卫生系统政府与非政府招标采购方式、医用耗材管理实务操作及法律风险防范、审计监督管理”专题研修班。紧扣当前医疗卫生系招标采购工作中的热点与难点，邀请国内招投标知名专家、卫健委及一线富有实践经验的专家进行授课,现将有关事项通知如下：</w:t>
      </w:r>
    </w:p>
    <w:p>
      <w:pPr>
        <w:spacing w:line="560" w:lineRule="exact"/>
        <w:rPr>
          <w:b/>
          <w:bCs/>
          <w:sz w:val="28"/>
          <w:szCs w:val="28"/>
        </w:rPr>
      </w:pPr>
      <w:r>
        <w:rPr>
          <w:rFonts w:hint="eastAsia"/>
          <w:b/>
          <w:bCs/>
          <w:sz w:val="28"/>
          <w:szCs w:val="28"/>
        </w:rPr>
        <w:t>第一讲：医疗卫生系统招标采购相关政策解读及法律风险防范</w:t>
      </w:r>
    </w:p>
    <w:p>
      <w:pPr>
        <w:numPr>
          <w:ilvl w:val="0"/>
          <w:numId w:val="1"/>
        </w:numPr>
        <w:spacing w:line="560" w:lineRule="exact"/>
        <w:rPr>
          <w:rFonts w:hint="eastAsia"/>
          <w:sz w:val="28"/>
          <w:szCs w:val="28"/>
        </w:rPr>
      </w:pPr>
      <w:r>
        <w:rPr>
          <w:sz w:val="28"/>
          <w:szCs w:val="28"/>
        </w:rPr>
        <w:t>财库38号文的解读应用</w:t>
      </w:r>
      <w:r>
        <w:rPr>
          <w:rFonts w:hint="eastAsia"/>
          <w:sz w:val="28"/>
          <w:szCs w:val="28"/>
        </w:rPr>
        <w:t>；</w:t>
      </w:r>
    </w:p>
    <w:p>
      <w:pPr>
        <w:numPr>
          <w:ilvl w:val="0"/>
          <w:numId w:val="1"/>
        </w:numPr>
        <w:spacing w:line="560" w:lineRule="exact"/>
        <w:rPr>
          <w:rFonts w:hint="eastAsia"/>
          <w:sz w:val="28"/>
          <w:szCs w:val="28"/>
        </w:rPr>
      </w:pPr>
      <w:r>
        <w:rPr>
          <w:rFonts w:hint="default"/>
          <w:sz w:val="28"/>
          <w:szCs w:val="28"/>
        </w:rPr>
        <w:t>《</w:t>
      </w:r>
      <w:r>
        <w:rPr>
          <w:rFonts w:hint="eastAsia"/>
          <w:sz w:val="28"/>
          <w:szCs w:val="28"/>
          <w:lang w:val="en-US" w:eastAsia="zh-Hans"/>
        </w:rPr>
        <w:t>政府采购法</w:t>
      </w:r>
      <w:r>
        <w:rPr>
          <w:rFonts w:hint="default"/>
          <w:sz w:val="28"/>
          <w:szCs w:val="28"/>
        </w:rPr>
        <w:t>》（</w:t>
      </w:r>
      <w:r>
        <w:rPr>
          <w:rFonts w:hint="eastAsia"/>
          <w:sz w:val="28"/>
          <w:szCs w:val="28"/>
          <w:lang w:val="en-US" w:eastAsia="zh-Hans"/>
        </w:rPr>
        <w:t>修订稿</w:t>
      </w:r>
      <w:r>
        <w:rPr>
          <w:rFonts w:hint="default"/>
          <w:sz w:val="28"/>
          <w:szCs w:val="28"/>
        </w:rPr>
        <w:t>）</w:t>
      </w:r>
      <w:r>
        <w:rPr>
          <w:rFonts w:hint="eastAsia"/>
          <w:sz w:val="28"/>
          <w:szCs w:val="28"/>
          <w:lang w:val="en-US" w:eastAsia="zh-Hans"/>
        </w:rPr>
        <w:t>征求意见稿主要内容解读</w:t>
      </w:r>
      <w:r>
        <w:rPr>
          <w:rFonts w:hint="default"/>
          <w:sz w:val="28"/>
          <w:szCs w:val="28"/>
          <w:lang w:eastAsia="zh-Hans"/>
        </w:rPr>
        <w:t>；</w:t>
      </w:r>
    </w:p>
    <w:p>
      <w:pPr>
        <w:numPr>
          <w:ilvl w:val="0"/>
          <w:numId w:val="1"/>
        </w:numPr>
        <w:spacing w:line="560" w:lineRule="exact"/>
        <w:rPr>
          <w:rFonts w:hint="eastAsia"/>
          <w:sz w:val="28"/>
          <w:szCs w:val="28"/>
        </w:rPr>
      </w:pPr>
      <w:r>
        <w:rPr>
          <w:rFonts w:hint="eastAsia"/>
          <w:sz w:val="28"/>
          <w:szCs w:val="28"/>
        </w:rPr>
        <w:t>《保障中小企业款项支付条例》（国务院728号令）</w:t>
      </w:r>
      <w:r>
        <w:rPr>
          <w:rFonts w:hint="eastAsia"/>
          <w:sz w:val="28"/>
          <w:szCs w:val="28"/>
          <w:lang w:val="en-US" w:eastAsia="zh-Hans"/>
        </w:rPr>
        <w:t>解读</w:t>
      </w:r>
      <w:r>
        <w:rPr>
          <w:rFonts w:hint="default"/>
          <w:sz w:val="28"/>
          <w:szCs w:val="28"/>
          <w:lang w:eastAsia="zh-Hans"/>
        </w:rPr>
        <w:t>；</w:t>
      </w:r>
    </w:p>
    <w:p>
      <w:pPr>
        <w:numPr>
          <w:ilvl w:val="0"/>
          <w:numId w:val="1"/>
        </w:numPr>
        <w:spacing w:line="560" w:lineRule="exact"/>
        <w:rPr>
          <w:rFonts w:hint="eastAsia"/>
          <w:sz w:val="28"/>
          <w:szCs w:val="28"/>
        </w:rPr>
      </w:pPr>
      <w:r>
        <w:rPr>
          <w:rFonts w:hint="eastAsia"/>
          <w:sz w:val="28"/>
          <w:szCs w:val="28"/>
        </w:rPr>
        <w:t>《国家卫生健康委关于进一步规范和加强政府采购管理工作的通知》（国卫财务函 〔2020〕 250号</w:t>
      </w:r>
      <w:r>
        <w:rPr>
          <w:rFonts w:hint="default"/>
          <w:sz w:val="28"/>
          <w:szCs w:val="28"/>
        </w:rPr>
        <w:t>）</w:t>
      </w:r>
      <w:r>
        <w:rPr>
          <w:rFonts w:hint="eastAsia"/>
          <w:sz w:val="28"/>
          <w:szCs w:val="28"/>
          <w:lang w:val="en-US" w:eastAsia="zh-Hans"/>
        </w:rPr>
        <w:t>解读</w:t>
      </w:r>
      <w:r>
        <w:rPr>
          <w:rFonts w:hint="default"/>
          <w:sz w:val="28"/>
          <w:szCs w:val="28"/>
          <w:lang w:eastAsia="zh-Hans"/>
        </w:rPr>
        <w:t>；</w:t>
      </w:r>
    </w:p>
    <w:p>
      <w:pPr>
        <w:numPr>
          <w:ilvl w:val="0"/>
          <w:numId w:val="1"/>
        </w:numPr>
        <w:spacing w:line="560" w:lineRule="exact"/>
        <w:rPr>
          <w:rFonts w:hint="eastAsia"/>
          <w:sz w:val="28"/>
          <w:szCs w:val="28"/>
        </w:rPr>
      </w:pPr>
      <w:r>
        <w:rPr>
          <w:rFonts w:hint="eastAsia"/>
          <w:sz w:val="28"/>
          <w:szCs w:val="28"/>
        </w:rPr>
        <w:t>关于印发公立医院内部控制管理办法的通知（国卫财务发〔2020〕31号）</w:t>
      </w:r>
      <w:r>
        <w:rPr>
          <w:rFonts w:hint="eastAsia"/>
          <w:sz w:val="28"/>
          <w:szCs w:val="28"/>
          <w:lang w:val="en-US" w:eastAsia="zh-Hans"/>
        </w:rPr>
        <w:t>主要内容解读</w:t>
      </w:r>
      <w:r>
        <w:rPr>
          <w:rFonts w:hint="default"/>
          <w:sz w:val="28"/>
          <w:szCs w:val="28"/>
          <w:lang w:eastAsia="zh-Hans"/>
        </w:rPr>
        <w:t>；</w:t>
      </w:r>
    </w:p>
    <w:p>
      <w:pPr>
        <w:spacing w:line="560" w:lineRule="exact"/>
        <w:rPr>
          <w:sz w:val="28"/>
          <w:szCs w:val="28"/>
        </w:rPr>
      </w:pPr>
      <w:r>
        <w:rPr>
          <w:sz w:val="28"/>
          <w:szCs w:val="28"/>
        </w:rPr>
        <w:t>6</w:t>
      </w:r>
      <w:r>
        <w:rPr>
          <w:rFonts w:hint="eastAsia"/>
          <w:sz w:val="28"/>
          <w:szCs w:val="28"/>
        </w:rPr>
        <w:t>.</w:t>
      </w:r>
      <w:r>
        <w:rPr>
          <w:sz w:val="28"/>
          <w:szCs w:val="28"/>
        </w:rPr>
        <w:t>卫生计生系统政府采购的特点以及与其他行业的不同之处；</w:t>
      </w:r>
    </w:p>
    <w:p>
      <w:pPr>
        <w:spacing w:line="560" w:lineRule="exact"/>
      </w:pPr>
      <w:r>
        <w:rPr>
          <w:rFonts w:hint="eastAsia"/>
          <w:sz w:val="28"/>
          <w:szCs w:val="28"/>
        </w:rPr>
        <w:t>7.政府采购管理三年专项行动工作方案制定、实施、推进要点解析；</w:t>
      </w:r>
    </w:p>
    <w:p>
      <w:pPr>
        <w:spacing w:line="560" w:lineRule="exact"/>
        <w:rPr>
          <w:rStyle w:val="4"/>
          <w:b/>
          <w:bCs/>
        </w:rPr>
      </w:pPr>
      <w:r>
        <w:rPr>
          <w:rFonts w:hint="eastAsia"/>
          <w:b/>
          <w:bCs/>
          <w:sz w:val="28"/>
          <w:szCs w:val="28"/>
        </w:rPr>
        <w:t>第</w:t>
      </w:r>
      <w:r>
        <w:rPr>
          <w:rFonts w:hint="eastAsia"/>
          <w:b/>
          <w:bCs/>
          <w:sz w:val="28"/>
          <w:szCs w:val="28"/>
          <w:lang w:val="en-US" w:eastAsia="zh-Hans"/>
        </w:rPr>
        <w:t>二</w:t>
      </w:r>
      <w:r>
        <w:rPr>
          <w:rFonts w:hint="eastAsia"/>
          <w:b/>
          <w:bCs/>
          <w:sz w:val="28"/>
          <w:szCs w:val="28"/>
        </w:rPr>
        <w:t>讲：</w:t>
      </w:r>
      <w:r>
        <w:rPr>
          <w:b/>
          <w:bCs/>
          <w:sz w:val="28"/>
          <w:szCs w:val="28"/>
        </w:rPr>
        <w:t>医院自主采购</w:t>
      </w:r>
      <w:r>
        <w:rPr>
          <w:rFonts w:hint="eastAsia"/>
          <w:b/>
          <w:bCs/>
          <w:sz w:val="28"/>
          <w:szCs w:val="28"/>
        </w:rPr>
        <w:t>（</w:t>
      </w:r>
      <w:r>
        <w:rPr>
          <w:b/>
          <w:bCs/>
          <w:sz w:val="28"/>
          <w:szCs w:val="28"/>
        </w:rPr>
        <w:t>非政府采购项目</w:t>
      </w:r>
      <w:r>
        <w:rPr>
          <w:rFonts w:hint="eastAsia"/>
          <w:b/>
          <w:bCs/>
          <w:sz w:val="28"/>
          <w:szCs w:val="28"/>
        </w:rPr>
        <w:t>）</w:t>
      </w:r>
      <w:r>
        <w:rPr>
          <w:b/>
          <w:bCs/>
          <w:sz w:val="28"/>
          <w:szCs w:val="28"/>
        </w:rPr>
        <w:t>的规范化流程及注意事项</w:t>
      </w:r>
    </w:p>
    <w:p>
      <w:pPr>
        <w:spacing w:line="560" w:lineRule="exact"/>
        <w:rPr>
          <w:rFonts w:hint="eastAsia"/>
          <w:sz w:val="28"/>
          <w:szCs w:val="28"/>
        </w:rPr>
      </w:pPr>
      <w:r>
        <w:rPr>
          <w:rFonts w:hint="eastAsia"/>
          <w:sz w:val="28"/>
          <w:szCs w:val="28"/>
        </w:rPr>
        <w:t>1.操作流程及注意事项：医院采购领导小组组成、采购目录及限额、采购项目立项与申报、院内非政府采购方式（比选、议价、单一来源等）、院内采购执行流程、签订合同、采购项目实施与验收等；</w:t>
      </w:r>
    </w:p>
    <w:p>
      <w:pPr>
        <w:spacing w:line="560" w:lineRule="exact"/>
        <w:rPr>
          <w:rFonts w:hint="eastAsia"/>
          <w:sz w:val="28"/>
          <w:szCs w:val="28"/>
        </w:rPr>
      </w:pPr>
      <w:r>
        <w:rPr>
          <w:rFonts w:hint="eastAsia"/>
          <w:sz w:val="28"/>
          <w:szCs w:val="28"/>
        </w:rPr>
        <w:t>2.院内自行采购管理办法（制度）分享；</w:t>
      </w:r>
    </w:p>
    <w:p>
      <w:pPr>
        <w:spacing w:line="560" w:lineRule="exact"/>
        <w:rPr>
          <w:rFonts w:hint="eastAsia"/>
          <w:sz w:val="28"/>
          <w:szCs w:val="28"/>
        </w:rPr>
      </w:pPr>
      <w:r>
        <w:rPr>
          <w:rFonts w:hint="eastAsia"/>
          <w:sz w:val="28"/>
          <w:szCs w:val="28"/>
        </w:rPr>
        <w:t>3.院内零星、修缮施工公司资格招标实务；</w:t>
      </w:r>
    </w:p>
    <w:p>
      <w:pPr>
        <w:spacing w:line="560" w:lineRule="exact"/>
        <w:rPr>
          <w:sz w:val="28"/>
          <w:szCs w:val="28"/>
        </w:rPr>
      </w:pPr>
      <w:r>
        <w:rPr>
          <w:rFonts w:hint="eastAsia"/>
          <w:sz w:val="28"/>
          <w:szCs w:val="28"/>
        </w:rPr>
        <w:t>4.政府采购与非政府采购的区别。</w:t>
      </w:r>
    </w:p>
    <w:p>
      <w:pPr>
        <w:spacing w:line="560" w:lineRule="exact"/>
      </w:pPr>
      <w:r>
        <w:rPr>
          <w:rFonts w:hint="eastAsia"/>
          <w:b/>
          <w:bCs/>
          <w:sz w:val="28"/>
          <w:szCs w:val="28"/>
        </w:rPr>
        <w:t>第</w:t>
      </w:r>
      <w:r>
        <w:rPr>
          <w:rFonts w:hint="eastAsia"/>
          <w:b/>
          <w:bCs/>
          <w:sz w:val="28"/>
          <w:szCs w:val="28"/>
          <w:lang w:val="en-US" w:eastAsia="zh-Hans"/>
        </w:rPr>
        <w:t>三</w:t>
      </w:r>
      <w:r>
        <w:rPr>
          <w:rFonts w:hint="eastAsia"/>
          <w:b/>
          <w:bCs/>
          <w:sz w:val="28"/>
          <w:szCs w:val="28"/>
        </w:rPr>
        <w:t>讲：</w:t>
      </w:r>
      <w:r>
        <w:rPr>
          <w:b/>
          <w:bCs/>
          <w:sz w:val="28"/>
          <w:szCs w:val="28"/>
        </w:rPr>
        <w:t>国家采购及医用耗材采购方面的实务操作及风险控制点</w:t>
      </w:r>
    </w:p>
    <w:p>
      <w:pPr>
        <w:spacing w:line="560" w:lineRule="exact"/>
        <w:rPr>
          <w:rFonts w:hint="eastAsia"/>
          <w:sz w:val="28"/>
          <w:szCs w:val="28"/>
        </w:rPr>
      </w:pPr>
      <w:r>
        <w:rPr>
          <w:rFonts w:hint="eastAsia"/>
          <w:sz w:val="28"/>
          <w:szCs w:val="28"/>
        </w:rPr>
        <w:t>1.高值耗材(介入和植入类)的采购和管理;</w:t>
      </w:r>
    </w:p>
    <w:p>
      <w:pPr>
        <w:spacing w:line="560" w:lineRule="exact"/>
        <w:rPr>
          <w:rFonts w:hint="eastAsia"/>
          <w:sz w:val="28"/>
          <w:szCs w:val="28"/>
        </w:rPr>
      </w:pPr>
      <w:r>
        <w:rPr>
          <w:rFonts w:hint="eastAsia"/>
          <w:sz w:val="28"/>
          <w:szCs w:val="28"/>
        </w:rPr>
        <w:t>2.医用耗材采购的合同管理;</w:t>
      </w:r>
    </w:p>
    <w:p>
      <w:pPr>
        <w:spacing w:line="560" w:lineRule="exact"/>
        <w:rPr>
          <w:rFonts w:hint="eastAsia"/>
          <w:sz w:val="28"/>
          <w:szCs w:val="28"/>
        </w:rPr>
      </w:pPr>
      <w:r>
        <w:rPr>
          <w:rFonts w:hint="eastAsia"/>
          <w:sz w:val="28"/>
          <w:szCs w:val="28"/>
        </w:rPr>
        <w:t>3.医用耗材管理信息系统建设的重点;</w:t>
      </w:r>
    </w:p>
    <w:p>
      <w:pPr>
        <w:spacing w:line="560" w:lineRule="exact"/>
        <w:rPr>
          <w:rFonts w:hint="eastAsia"/>
          <w:sz w:val="28"/>
          <w:szCs w:val="28"/>
        </w:rPr>
      </w:pPr>
      <w:r>
        <w:rPr>
          <w:rFonts w:hint="eastAsia"/>
          <w:sz w:val="28"/>
          <w:szCs w:val="28"/>
        </w:rPr>
        <w:t>4.医用耗材的规范管理(含二级库管理）;</w:t>
      </w:r>
    </w:p>
    <w:p>
      <w:pPr>
        <w:spacing w:line="560" w:lineRule="exact"/>
        <w:rPr>
          <w:rFonts w:hint="eastAsia"/>
          <w:sz w:val="28"/>
          <w:szCs w:val="28"/>
        </w:rPr>
      </w:pPr>
      <w:r>
        <w:rPr>
          <w:rFonts w:hint="eastAsia"/>
          <w:sz w:val="28"/>
          <w:szCs w:val="28"/>
        </w:rPr>
        <w:t>5.医用耗材SPD供应链管理模式(三方物流管理模式) ;</w:t>
      </w:r>
    </w:p>
    <w:p>
      <w:pPr>
        <w:spacing w:line="560" w:lineRule="exact"/>
        <w:rPr>
          <w:sz w:val="28"/>
          <w:szCs w:val="28"/>
        </w:rPr>
      </w:pPr>
      <w:r>
        <w:rPr>
          <w:rFonts w:hint="eastAsia"/>
          <w:sz w:val="28"/>
          <w:szCs w:val="28"/>
        </w:rPr>
        <w:t>6.高值耗材及</w:t>
      </w:r>
      <w:r>
        <w:rPr>
          <w:sz w:val="28"/>
          <w:szCs w:val="28"/>
        </w:rPr>
        <w:t>专机专用设备耗材、试剂的采购</w:t>
      </w:r>
      <w:r>
        <w:rPr>
          <w:rFonts w:hint="eastAsia"/>
          <w:sz w:val="28"/>
          <w:szCs w:val="28"/>
        </w:rPr>
        <w:t>管理热点、难点讨论。</w:t>
      </w:r>
    </w:p>
    <w:p>
      <w:pPr>
        <w:spacing w:line="560" w:lineRule="exact"/>
        <w:rPr>
          <w:b/>
          <w:bCs/>
          <w:sz w:val="28"/>
          <w:szCs w:val="28"/>
        </w:rPr>
      </w:pPr>
      <w:r>
        <w:rPr>
          <w:rFonts w:hint="eastAsia"/>
          <w:b/>
          <w:bCs/>
          <w:sz w:val="28"/>
          <w:szCs w:val="28"/>
        </w:rPr>
        <w:t>第</w:t>
      </w:r>
      <w:r>
        <w:rPr>
          <w:rFonts w:hint="eastAsia"/>
          <w:b/>
          <w:bCs/>
          <w:sz w:val="28"/>
          <w:szCs w:val="28"/>
          <w:lang w:val="en-US" w:eastAsia="zh-Hans"/>
        </w:rPr>
        <w:t>四</w:t>
      </w:r>
      <w:r>
        <w:rPr>
          <w:rFonts w:hint="eastAsia"/>
          <w:b/>
          <w:bCs/>
          <w:sz w:val="28"/>
          <w:szCs w:val="28"/>
        </w:rPr>
        <w:t>讲：招投标采购管理与纪检审计监督管理要点、难点和案例分析</w:t>
      </w:r>
    </w:p>
    <w:p>
      <w:pPr>
        <w:spacing w:line="560" w:lineRule="exact"/>
        <w:rPr>
          <w:sz w:val="28"/>
          <w:szCs w:val="28"/>
        </w:rPr>
      </w:pPr>
      <w:r>
        <w:rPr>
          <w:sz w:val="28"/>
          <w:szCs w:val="28"/>
        </w:rPr>
        <w:t>1.招投标采购程序合法性的监督要点;</w:t>
      </w:r>
    </w:p>
    <w:p>
      <w:pPr>
        <w:spacing w:line="560" w:lineRule="exact"/>
        <w:rPr>
          <w:rFonts w:hint="eastAsia"/>
          <w:sz w:val="28"/>
          <w:szCs w:val="28"/>
        </w:rPr>
      </w:pPr>
      <w:r>
        <w:rPr>
          <w:sz w:val="28"/>
          <w:szCs w:val="28"/>
        </w:rPr>
        <w:t>2.政府采购、招标采购流程风险解剖、舞弊情形深度解剖</w:t>
      </w:r>
      <w:r>
        <w:rPr>
          <w:rFonts w:hint="eastAsia"/>
          <w:sz w:val="28"/>
          <w:szCs w:val="28"/>
        </w:rPr>
        <w:t>：</w:t>
      </w:r>
    </w:p>
    <w:p>
      <w:pPr>
        <w:spacing w:line="560" w:lineRule="exact"/>
        <w:rPr>
          <w:sz w:val="28"/>
          <w:szCs w:val="28"/>
        </w:rPr>
      </w:pPr>
      <w:r>
        <w:rPr>
          <w:rFonts w:hint="eastAsia"/>
          <w:sz w:val="28"/>
          <w:szCs w:val="28"/>
        </w:rPr>
        <w:t>（</w:t>
      </w:r>
      <w:r>
        <w:rPr>
          <w:sz w:val="28"/>
          <w:szCs w:val="28"/>
        </w:rPr>
        <w:t>1）招标投标过程中串通投标的表现形式及认定;</w:t>
      </w:r>
    </w:p>
    <w:p>
      <w:pPr>
        <w:spacing w:line="560" w:lineRule="exact"/>
        <w:rPr>
          <w:sz w:val="28"/>
          <w:szCs w:val="28"/>
        </w:rPr>
      </w:pPr>
      <w:r>
        <w:rPr>
          <w:rFonts w:hint="eastAsia"/>
          <w:sz w:val="28"/>
          <w:szCs w:val="28"/>
        </w:rPr>
        <w:t>（</w:t>
      </w:r>
      <w:r>
        <w:rPr>
          <w:sz w:val="28"/>
          <w:szCs w:val="28"/>
        </w:rPr>
        <w:t>2）高价围标、低价抢标、陪标、串标等违法行为;</w:t>
      </w:r>
    </w:p>
    <w:p>
      <w:pPr>
        <w:spacing w:line="560" w:lineRule="exact"/>
        <w:rPr>
          <w:rFonts w:hint="eastAsia"/>
          <w:sz w:val="28"/>
          <w:szCs w:val="28"/>
        </w:rPr>
      </w:pPr>
      <w:r>
        <w:rPr>
          <w:sz w:val="28"/>
          <w:szCs w:val="28"/>
        </w:rPr>
        <w:t>3.纪检监察机构在资审、开标、评标、处理质疑和投诉等招标投标各个阶段应该注意的重点</w:t>
      </w:r>
      <w:r>
        <w:rPr>
          <w:rFonts w:hint="eastAsia"/>
          <w:sz w:val="28"/>
          <w:szCs w:val="28"/>
        </w:rPr>
        <w:t>：</w:t>
      </w:r>
    </w:p>
    <w:p>
      <w:pPr>
        <w:spacing w:line="560" w:lineRule="exact"/>
        <w:rPr>
          <w:sz w:val="28"/>
          <w:szCs w:val="28"/>
        </w:rPr>
      </w:pPr>
      <w:r>
        <w:rPr>
          <w:rFonts w:hint="eastAsia"/>
          <w:sz w:val="28"/>
          <w:szCs w:val="28"/>
        </w:rPr>
        <w:t>（</w:t>
      </w:r>
      <w:r>
        <w:rPr>
          <w:sz w:val="28"/>
          <w:szCs w:val="28"/>
        </w:rPr>
        <w:t>1）投标文件接收中的注意事项及拒绝接收的情形;</w:t>
      </w:r>
    </w:p>
    <w:p>
      <w:pPr>
        <w:spacing w:line="560" w:lineRule="exact"/>
        <w:rPr>
          <w:sz w:val="28"/>
          <w:szCs w:val="28"/>
        </w:rPr>
      </w:pPr>
      <w:r>
        <w:rPr>
          <w:rFonts w:hint="eastAsia"/>
          <w:sz w:val="28"/>
          <w:szCs w:val="28"/>
        </w:rPr>
        <w:t>（</w:t>
      </w:r>
      <w:r>
        <w:rPr>
          <w:sz w:val="28"/>
          <w:szCs w:val="28"/>
        </w:rPr>
        <w:t>2）澄清的合法性及其注意事项; </w:t>
      </w:r>
    </w:p>
    <w:p>
      <w:pPr>
        <w:spacing w:line="560" w:lineRule="exact"/>
        <w:rPr>
          <w:rFonts w:hint="eastAsia"/>
          <w:sz w:val="28"/>
          <w:szCs w:val="28"/>
        </w:rPr>
      </w:pPr>
      <w:r>
        <w:rPr>
          <w:rFonts w:hint="eastAsia"/>
          <w:sz w:val="28"/>
          <w:szCs w:val="28"/>
        </w:rPr>
        <w:t>（</w:t>
      </w:r>
      <w:r>
        <w:rPr>
          <w:sz w:val="28"/>
          <w:szCs w:val="28"/>
        </w:rPr>
        <w:t>3）废标的合法性及八种常见法定废标条件</w:t>
      </w:r>
      <w:r>
        <w:rPr>
          <w:rFonts w:hint="eastAsia"/>
          <w:sz w:val="28"/>
          <w:szCs w:val="28"/>
        </w:rPr>
        <w:t>；</w:t>
      </w:r>
    </w:p>
    <w:p>
      <w:pPr>
        <w:spacing w:line="560" w:lineRule="exact"/>
        <w:rPr>
          <w:sz w:val="28"/>
          <w:szCs w:val="28"/>
        </w:rPr>
      </w:pPr>
      <w:r>
        <w:rPr>
          <w:rFonts w:hint="eastAsia"/>
          <w:sz w:val="28"/>
          <w:szCs w:val="28"/>
        </w:rPr>
        <w:t>（</w:t>
      </w:r>
      <w:r>
        <w:rPr>
          <w:sz w:val="28"/>
          <w:szCs w:val="28"/>
        </w:rPr>
        <w:t>4）招标采购</w:t>
      </w:r>
      <w:r>
        <w:rPr>
          <w:rFonts w:hint="eastAsia"/>
          <w:sz w:val="28"/>
          <w:szCs w:val="28"/>
        </w:rPr>
        <w:t>质疑</w:t>
      </w:r>
      <w:r>
        <w:rPr>
          <w:sz w:val="28"/>
          <w:szCs w:val="28"/>
        </w:rPr>
        <w:t>和投诉的提出与处理;</w:t>
      </w:r>
    </w:p>
    <w:p>
      <w:pPr>
        <w:spacing w:line="560" w:lineRule="exact"/>
        <w:rPr>
          <w:sz w:val="28"/>
          <w:szCs w:val="28"/>
        </w:rPr>
      </w:pPr>
      <w:r>
        <w:rPr>
          <w:sz w:val="28"/>
          <w:szCs w:val="28"/>
        </w:rPr>
        <w:t>4</w:t>
      </w:r>
      <w:r>
        <w:rPr>
          <w:rFonts w:hint="eastAsia"/>
          <w:sz w:val="28"/>
          <w:szCs w:val="28"/>
        </w:rPr>
        <w:t>.</w:t>
      </w:r>
      <w:r>
        <w:rPr>
          <w:sz w:val="28"/>
          <w:szCs w:val="28"/>
        </w:rPr>
        <w:t>重新招标的情形和风险防范措施;</w:t>
      </w:r>
    </w:p>
    <w:p>
      <w:pPr>
        <w:spacing w:line="560" w:lineRule="exact"/>
        <w:rPr>
          <w:rFonts w:hint="eastAsia"/>
          <w:sz w:val="28"/>
          <w:szCs w:val="28"/>
        </w:rPr>
      </w:pPr>
      <w:r>
        <w:rPr>
          <w:sz w:val="28"/>
          <w:szCs w:val="28"/>
        </w:rPr>
        <w:t>5.纪检监察审计等部门在招标投标、政府采购监督中应注意的问题。</w:t>
      </w:r>
    </w:p>
    <w:p/>
    <w:p/>
    <w:p/>
    <w:p/>
    <w:p/>
    <w:p/>
    <w:p/>
    <w:p/>
    <w:p/>
    <w:p/>
    <w:p/>
    <w:p/>
    <w:p/>
    <w:p/>
    <w:p/>
    <w:p/>
    <w:p/>
    <w:p>
      <w:pPr>
        <w:spacing w:line="480" w:lineRule="exact"/>
        <w:jc w:val="both"/>
        <w:rPr>
          <w:rFonts w:hint="eastAsia" w:asciiTheme="majorEastAsia" w:hAnsiTheme="majorEastAsia" w:eastAsiaTheme="majorEastAsia"/>
          <w:b/>
          <w:sz w:val="44"/>
          <w:szCs w:val="44"/>
          <w:lang w:val="en-US" w:eastAsia="zh-Hans"/>
        </w:rPr>
      </w:pPr>
      <w:r>
        <w:rPr>
          <w:rFonts w:hint="eastAsia" w:asciiTheme="majorEastAsia" w:hAnsiTheme="majorEastAsia" w:eastAsiaTheme="majorEastAsia"/>
          <w:b/>
          <w:sz w:val="44"/>
          <w:szCs w:val="44"/>
          <w:lang w:val="en-US" w:eastAsia="zh-Hans"/>
        </w:rPr>
        <w:t>附</w:t>
      </w:r>
      <w:r>
        <w:rPr>
          <w:rFonts w:hint="default" w:asciiTheme="majorEastAsia" w:hAnsiTheme="majorEastAsia" w:eastAsiaTheme="majorEastAsia"/>
          <w:b/>
          <w:sz w:val="44"/>
          <w:szCs w:val="44"/>
          <w:lang w:eastAsia="zh-Hans"/>
        </w:rPr>
        <w:t>：</w:t>
      </w:r>
      <w:r>
        <w:rPr>
          <w:rFonts w:hint="eastAsia" w:asciiTheme="majorEastAsia" w:hAnsiTheme="majorEastAsia" w:eastAsiaTheme="majorEastAsia"/>
          <w:b/>
          <w:sz w:val="44"/>
          <w:szCs w:val="44"/>
          <w:lang w:val="en-US" w:eastAsia="zh-Hans"/>
        </w:rPr>
        <w:t>讲师简介</w:t>
      </w:r>
    </w:p>
    <w:p>
      <w:pPr>
        <w:spacing w:line="480" w:lineRule="exact"/>
        <w:jc w:val="center"/>
        <w:rPr>
          <w:rFonts w:asciiTheme="majorEastAsia" w:hAnsiTheme="majorEastAsia" w:eastAsiaTheme="majorEastAsia"/>
          <w:b/>
          <w:sz w:val="44"/>
          <w:szCs w:val="44"/>
        </w:rPr>
      </w:pPr>
    </w:p>
    <w:p>
      <w:pPr>
        <w:spacing w:line="48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招标</w:t>
      </w:r>
      <w:r>
        <w:rPr>
          <w:rFonts w:hint="eastAsia" w:asciiTheme="majorEastAsia" w:hAnsiTheme="majorEastAsia" w:eastAsiaTheme="majorEastAsia"/>
          <w:b/>
          <w:sz w:val="44"/>
          <w:szCs w:val="44"/>
          <w:lang w:val="en-US" w:eastAsia="zh-Hans"/>
        </w:rPr>
        <w:t>采购赋能讲师</w:t>
      </w:r>
      <w:r>
        <w:rPr>
          <w:rFonts w:hint="eastAsia" w:asciiTheme="majorEastAsia" w:hAnsiTheme="majorEastAsia" w:eastAsiaTheme="majorEastAsia"/>
          <w:b/>
          <w:sz w:val="44"/>
          <w:szCs w:val="44"/>
        </w:rPr>
        <w:t>王胜辉简介</w:t>
      </w:r>
    </w:p>
    <w:p>
      <w:pPr>
        <w:spacing w:line="480" w:lineRule="exact"/>
        <w:jc w:val="center"/>
        <w:rPr>
          <w:rFonts w:asciiTheme="majorEastAsia" w:hAnsiTheme="majorEastAsia" w:eastAsiaTheme="majorEastAsia"/>
          <w:b/>
          <w:sz w:val="44"/>
          <w:szCs w:val="44"/>
        </w:rPr>
      </w:pPr>
      <w:bookmarkStart w:id="0" w:name="_GoBack"/>
      <w:bookmarkEnd w:id="0"/>
    </w:p>
    <w:p>
      <w:pPr>
        <w:spacing w:line="400" w:lineRule="exact"/>
        <w:rPr>
          <w:b/>
          <w:bCs/>
          <w:sz w:val="28"/>
          <w:szCs w:val="28"/>
        </w:rPr>
      </w:pPr>
      <w:r>
        <w:rPr>
          <w:rFonts w:hint="eastAsia"/>
          <w:b/>
          <w:sz w:val="28"/>
          <w:szCs w:val="28"/>
        </w:rPr>
        <w:t>一</w:t>
      </w:r>
      <w:r>
        <w:rPr>
          <w:b/>
          <w:sz w:val="28"/>
          <w:szCs w:val="28"/>
        </w:rPr>
        <w:t>、</w:t>
      </w:r>
      <w:r>
        <w:rPr>
          <w:rFonts w:hint="eastAsia"/>
          <w:b/>
          <w:bCs/>
          <w:sz w:val="28"/>
          <w:szCs w:val="28"/>
        </w:rPr>
        <w:t xml:space="preserve">王胜辉简介                                                   </w:t>
      </w:r>
    </w:p>
    <w:p>
      <w:pPr>
        <w:ind w:firstLine="420"/>
        <w:rPr>
          <w:sz w:val="28"/>
          <w:szCs w:val="28"/>
        </w:rPr>
      </w:pPr>
      <w:r>
        <w:rPr>
          <w:rFonts w:hint="eastAsia"/>
          <w:sz w:val="28"/>
          <w:szCs w:val="28"/>
        </w:rPr>
        <w:t>1</w:t>
      </w:r>
      <w:r>
        <w:rPr>
          <w:sz w:val="28"/>
          <w:szCs w:val="28"/>
        </w:rPr>
        <w:t>5年</w:t>
      </w:r>
      <w:r>
        <w:rPr>
          <w:rFonts w:hint="eastAsia"/>
          <w:sz w:val="28"/>
          <w:szCs w:val="28"/>
        </w:rPr>
        <w:t>国家级开发区甲方</w:t>
      </w:r>
      <w:r>
        <w:rPr>
          <w:sz w:val="28"/>
          <w:szCs w:val="28"/>
        </w:rPr>
        <w:t>招标采购工作经历</w:t>
      </w:r>
    </w:p>
    <w:p>
      <w:pPr>
        <w:rPr>
          <w:sz w:val="28"/>
          <w:szCs w:val="28"/>
        </w:rPr>
      </w:pPr>
      <w:r>
        <w:rPr>
          <w:rFonts w:hint="eastAsia"/>
          <w:sz w:val="28"/>
          <w:szCs w:val="28"/>
        </w:rPr>
        <w:t xml:space="preserve">   1</w:t>
      </w:r>
      <w:r>
        <w:rPr>
          <w:sz w:val="28"/>
          <w:szCs w:val="28"/>
        </w:rPr>
        <w:t>1</w:t>
      </w:r>
      <w:r>
        <w:rPr>
          <w:rFonts w:hint="eastAsia"/>
          <w:sz w:val="28"/>
          <w:szCs w:val="28"/>
        </w:rPr>
        <w:t>年评审专家工作经验</w:t>
      </w:r>
    </w:p>
    <w:p>
      <w:pPr>
        <w:rPr>
          <w:b/>
          <w:bCs/>
          <w:sz w:val="28"/>
          <w:szCs w:val="28"/>
        </w:rPr>
      </w:pPr>
      <w:r>
        <w:rPr>
          <w:rFonts w:hint="eastAsia"/>
          <w:sz w:val="28"/>
          <w:szCs w:val="28"/>
        </w:rPr>
        <w:t xml:space="preserve"> </w:t>
      </w:r>
      <w:r>
        <w:rPr>
          <w:sz w:val="28"/>
          <w:szCs w:val="28"/>
        </w:rPr>
        <w:t xml:space="preserve">  </w:t>
      </w:r>
      <w:r>
        <w:rPr>
          <w:rFonts w:hint="eastAsia"/>
          <w:sz w:val="28"/>
          <w:szCs w:val="28"/>
        </w:rPr>
        <w:t>20</w:t>
      </w:r>
      <w:r>
        <w:rPr>
          <w:rFonts w:hint="default"/>
          <w:sz w:val="28"/>
          <w:szCs w:val="28"/>
        </w:rPr>
        <w:t>20</w:t>
      </w:r>
      <w:r>
        <w:rPr>
          <w:rFonts w:hint="eastAsia"/>
          <w:sz w:val="28"/>
          <w:szCs w:val="28"/>
        </w:rPr>
        <w:t>年度中国</w:t>
      </w:r>
      <w:r>
        <w:rPr>
          <w:rFonts w:hint="default"/>
          <w:sz w:val="28"/>
          <w:szCs w:val="28"/>
        </w:rPr>
        <w:t>1</w:t>
      </w:r>
      <w:r>
        <w:rPr>
          <w:rFonts w:hint="eastAsia"/>
          <w:sz w:val="28"/>
          <w:szCs w:val="28"/>
        </w:rPr>
        <w:t>0强讲师（中华讲师网协会）</w:t>
      </w:r>
    </w:p>
    <w:p>
      <w:pPr>
        <w:rPr>
          <w:sz w:val="28"/>
          <w:szCs w:val="28"/>
        </w:rPr>
      </w:pPr>
      <w:r>
        <w:rPr>
          <w:rFonts w:hint="eastAsia"/>
          <w:sz w:val="28"/>
          <w:szCs w:val="28"/>
        </w:rPr>
        <w:tab/>
      </w:r>
      <w:r>
        <w:rPr>
          <w:rFonts w:hint="eastAsia"/>
          <w:sz w:val="28"/>
          <w:szCs w:val="28"/>
        </w:rPr>
        <w:t>工程硕士，高级工程师职称，PMP项目经理</w:t>
      </w:r>
    </w:p>
    <w:p>
      <w:pPr>
        <w:ind w:firstLine="420"/>
        <w:rPr>
          <w:sz w:val="28"/>
          <w:szCs w:val="28"/>
        </w:rPr>
      </w:pPr>
      <w:r>
        <w:rPr>
          <w:rFonts w:hint="eastAsia"/>
          <w:sz w:val="28"/>
          <w:szCs w:val="28"/>
        </w:rPr>
        <w:t>陕西省“双库”（省发改委综合评标专家库、省财政厅政府采购专家库）评审专家</w:t>
      </w:r>
    </w:p>
    <w:p>
      <w:pPr>
        <w:ind w:firstLine="420"/>
        <w:rPr>
          <w:sz w:val="28"/>
          <w:szCs w:val="28"/>
        </w:rPr>
      </w:pPr>
      <w:r>
        <w:rPr>
          <w:rFonts w:hint="eastAsia"/>
          <w:sz w:val="28"/>
          <w:szCs w:val="28"/>
        </w:rPr>
        <w:t>中国招标投标公共服务平台优秀讲师</w:t>
      </w:r>
    </w:p>
    <w:p>
      <w:pPr>
        <w:ind w:firstLine="420"/>
        <w:rPr>
          <w:sz w:val="28"/>
          <w:szCs w:val="28"/>
        </w:rPr>
      </w:pPr>
      <w:r>
        <w:rPr>
          <w:rFonts w:hint="eastAsia"/>
          <w:sz w:val="28"/>
          <w:szCs w:val="28"/>
        </w:rPr>
        <w:t>《中国招标》</w:t>
      </w:r>
      <w:r>
        <w:rPr>
          <w:rFonts w:hint="eastAsia"/>
          <w:sz w:val="28"/>
          <w:szCs w:val="28"/>
          <w:lang w:val="en-US" w:eastAsia="zh-Hans"/>
        </w:rPr>
        <w:t>杂志社</w:t>
      </w:r>
      <w:r>
        <w:rPr>
          <w:rFonts w:hint="eastAsia"/>
          <w:sz w:val="28"/>
          <w:szCs w:val="28"/>
        </w:rPr>
        <w:t>专家</w:t>
      </w:r>
    </w:p>
    <w:p>
      <w:pPr>
        <w:ind w:firstLine="420"/>
        <w:rPr>
          <w:sz w:val="28"/>
          <w:szCs w:val="28"/>
        </w:rPr>
      </w:pPr>
      <w:r>
        <w:rPr>
          <w:rFonts w:hint="eastAsia"/>
          <w:sz w:val="28"/>
          <w:szCs w:val="28"/>
        </w:rPr>
        <w:t>中国采购与招标网讲师</w:t>
      </w:r>
    </w:p>
    <w:p>
      <w:pPr>
        <w:ind w:firstLine="420"/>
        <w:rPr>
          <w:sz w:val="28"/>
          <w:szCs w:val="28"/>
        </w:rPr>
      </w:pPr>
      <w:r>
        <w:rPr>
          <w:rFonts w:hint="eastAsia"/>
          <w:sz w:val="28"/>
          <w:szCs w:val="28"/>
        </w:rPr>
        <w:t>主编出版了《政府采购评审专家工作指南》</w:t>
      </w:r>
      <w:r>
        <w:rPr>
          <w:rFonts w:hint="default"/>
          <w:sz w:val="28"/>
          <w:szCs w:val="28"/>
        </w:rPr>
        <w:t>、《</w:t>
      </w:r>
      <w:r>
        <w:rPr>
          <w:rFonts w:hint="eastAsia"/>
          <w:sz w:val="28"/>
          <w:szCs w:val="28"/>
          <w:lang w:val="en-US" w:eastAsia="zh-Hans"/>
        </w:rPr>
        <w:t>政府采购代理机构实战指南</w:t>
      </w:r>
      <w:r>
        <w:rPr>
          <w:rFonts w:hint="default"/>
          <w:sz w:val="28"/>
          <w:szCs w:val="28"/>
        </w:rPr>
        <w:t>》。</w:t>
      </w:r>
    </w:p>
    <w:p>
      <w:pPr>
        <w:ind w:firstLine="420"/>
        <w:rPr>
          <w:sz w:val="28"/>
          <w:szCs w:val="28"/>
        </w:rPr>
      </w:pPr>
      <w:r>
        <w:rPr>
          <w:rFonts w:hint="eastAsia"/>
          <w:sz w:val="28"/>
          <w:szCs w:val="28"/>
        </w:rPr>
        <w:t>中国物流与采购联合会公共采购分会专家</w:t>
      </w:r>
    </w:p>
    <w:p>
      <w:pPr>
        <w:ind w:firstLine="420"/>
        <w:rPr>
          <w:rFonts w:hint="eastAsia"/>
          <w:sz w:val="28"/>
          <w:szCs w:val="28"/>
        </w:rPr>
      </w:pPr>
      <w:r>
        <w:rPr>
          <w:rFonts w:hint="eastAsia"/>
          <w:sz w:val="28"/>
          <w:szCs w:val="28"/>
        </w:rPr>
        <w:t xml:space="preserve">团体标准《国有企业采购操作规范》编委成员，中物联公共采购分会首批授权六名讲师之一。 </w:t>
      </w:r>
    </w:p>
    <w:p>
      <w:pPr>
        <w:ind w:firstLine="420"/>
        <w:rPr>
          <w:sz w:val="28"/>
          <w:szCs w:val="28"/>
        </w:rPr>
      </w:pPr>
      <w:r>
        <w:rPr>
          <w:rFonts w:hint="eastAsia"/>
          <w:sz w:val="28"/>
          <w:szCs w:val="28"/>
        </w:rPr>
        <w:t xml:space="preserve">   </w:t>
      </w:r>
    </w:p>
    <w:p>
      <w:pPr>
        <w:ind w:firstLine="420"/>
        <w:rPr>
          <w:sz w:val="28"/>
          <w:szCs w:val="28"/>
        </w:rPr>
      </w:pPr>
    </w:p>
    <w:p>
      <w:pPr>
        <w:ind w:firstLine="420"/>
        <w:rPr>
          <w:sz w:val="28"/>
          <w:szCs w:val="28"/>
        </w:rPr>
      </w:pPr>
    </w:p>
    <w:p>
      <w:pPr>
        <w:ind w:firstLine="420"/>
        <w:rPr>
          <w:sz w:val="28"/>
          <w:szCs w:val="28"/>
        </w:rPr>
      </w:pPr>
    </w:p>
    <w:p>
      <w:pPr>
        <w:ind w:firstLine="420"/>
        <w:rPr>
          <w:sz w:val="28"/>
          <w:szCs w:val="28"/>
        </w:rPr>
      </w:pPr>
    </w:p>
    <w:p>
      <w:pPr>
        <w:ind w:firstLine="420"/>
        <w:rPr>
          <w:sz w:val="28"/>
          <w:szCs w:val="28"/>
        </w:rPr>
      </w:pPr>
    </w:p>
    <w:p>
      <w:pPr>
        <w:ind w:firstLine="420"/>
        <w:rPr>
          <w:sz w:val="28"/>
          <w:szCs w:val="28"/>
        </w:rPr>
      </w:pPr>
    </w:p>
    <w:p>
      <w:pPr>
        <w:rPr>
          <w:b/>
          <w:sz w:val="28"/>
          <w:szCs w:val="28"/>
        </w:rPr>
      </w:pPr>
      <w:r>
        <w:rPr>
          <w:rFonts w:hint="eastAsia"/>
          <w:b/>
          <w:sz w:val="28"/>
          <w:szCs w:val="28"/>
        </w:rPr>
        <w:t>二</w:t>
      </w:r>
      <w:r>
        <w:rPr>
          <w:b/>
          <w:sz w:val="28"/>
          <w:szCs w:val="28"/>
        </w:rPr>
        <w:t>、讲师形象照</w:t>
      </w:r>
    </w:p>
    <w:p>
      <w:pPr>
        <w:spacing w:line="400" w:lineRule="exact"/>
      </w:pPr>
      <w:r>
        <w:rPr>
          <w:rFonts w:hint="eastAsia"/>
        </w:rPr>
        <w:t xml:space="preserve">   </w:t>
      </w:r>
    </w:p>
    <w:p>
      <w:r>
        <w:rPr>
          <w:rFonts w:hint="eastAsia"/>
        </w:rPr>
        <w:drawing>
          <wp:inline distT="0" distB="0" distL="114300" distR="114300">
            <wp:extent cx="4631690" cy="6948170"/>
            <wp:effectExtent l="0" t="0" r="16510" b="11430"/>
            <wp:docPr id="2" name="图片 2" descr="IMG_6778装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6778装框-"/>
                    <pic:cNvPicPr>
                      <a:picLocks noChangeAspect="1"/>
                    </pic:cNvPicPr>
                  </pic:nvPicPr>
                  <pic:blipFill>
                    <a:blip r:embed="rId4"/>
                    <a:stretch>
                      <a:fillRect/>
                    </a:stretch>
                  </pic:blipFill>
                  <pic:spPr>
                    <a:xfrm>
                      <a:off x="0" y="0"/>
                      <a:ext cx="4631690" cy="6948170"/>
                    </a:xfrm>
                    <a:prstGeom prst="rect">
                      <a:avLst/>
                    </a:prstGeom>
                  </pic:spPr>
                </pic:pic>
              </a:graphicData>
            </a:graphic>
          </wp:inline>
        </w:drawing>
      </w:r>
    </w:p>
    <w:p>
      <w:pPr>
        <w:jc w:val="center"/>
        <w:rPr>
          <w:b/>
          <w:bCs/>
        </w:rPr>
      </w:pPr>
      <w:r>
        <w:rPr>
          <w:rFonts w:hint="eastAsia"/>
          <w:b/>
          <w:bCs/>
        </w:rPr>
        <w:t>王胜辉</w:t>
      </w:r>
    </w:p>
    <w:p>
      <w:pPr>
        <w:spacing w:line="400" w:lineRule="exact"/>
        <w:rPr>
          <w:b/>
          <w:sz w:val="28"/>
          <w:szCs w:val="28"/>
        </w:rPr>
      </w:pPr>
      <w:r>
        <w:rPr>
          <w:rFonts w:hint="eastAsia"/>
          <w:b/>
          <w:sz w:val="28"/>
          <w:szCs w:val="28"/>
        </w:rPr>
        <w:t>三</w:t>
      </w:r>
      <w:r>
        <w:rPr>
          <w:b/>
          <w:sz w:val="28"/>
          <w:szCs w:val="28"/>
        </w:rPr>
        <w:t>、</w:t>
      </w:r>
      <w:r>
        <w:rPr>
          <w:rFonts w:hint="eastAsia"/>
          <w:b/>
          <w:sz w:val="28"/>
          <w:szCs w:val="28"/>
        </w:rPr>
        <w:t>资历</w:t>
      </w:r>
    </w:p>
    <w:p>
      <w:pPr>
        <w:spacing w:line="400" w:lineRule="exact"/>
        <w:rPr>
          <w:sz w:val="28"/>
          <w:szCs w:val="28"/>
        </w:rPr>
      </w:pPr>
      <w:r>
        <w:rPr>
          <w:rFonts w:hint="eastAsia"/>
        </w:rPr>
        <w:t xml:space="preserve">    </w:t>
      </w:r>
      <w:r>
        <w:rPr>
          <w:rFonts w:hint="eastAsia"/>
          <w:sz w:val="28"/>
          <w:szCs w:val="28"/>
        </w:rPr>
        <w:t>西安电子科技大学软件工程硕士</w:t>
      </w:r>
    </w:p>
    <w:p>
      <w:pPr>
        <w:rPr>
          <w:sz w:val="28"/>
          <w:szCs w:val="28"/>
        </w:rPr>
      </w:pPr>
      <w:r>
        <w:rPr>
          <w:rFonts w:hint="eastAsia"/>
          <w:sz w:val="28"/>
          <w:szCs w:val="28"/>
        </w:rPr>
        <w:t xml:space="preserve">   陕西省人事厅颁发信息系统高级工程师职称证书</w:t>
      </w:r>
    </w:p>
    <w:p>
      <w:pPr>
        <w:rPr>
          <w:sz w:val="28"/>
          <w:szCs w:val="28"/>
        </w:rPr>
      </w:pPr>
      <w:r>
        <w:rPr>
          <w:rFonts w:hint="eastAsia"/>
          <w:sz w:val="28"/>
          <w:szCs w:val="28"/>
        </w:rPr>
        <w:t xml:space="preserve">   陕西省发展和改革委员会颁发的陕西省综合评标评审专家库专家证</w:t>
      </w:r>
    </w:p>
    <w:p>
      <w:pPr>
        <w:rPr>
          <w:sz w:val="28"/>
          <w:szCs w:val="28"/>
        </w:rPr>
      </w:pPr>
      <w:r>
        <w:rPr>
          <w:rFonts w:hint="eastAsia"/>
          <w:sz w:val="28"/>
          <w:szCs w:val="28"/>
        </w:rPr>
        <w:t xml:space="preserve">   工业和信息化部&amp;人社部颁发信息系统项目管理师</w:t>
      </w:r>
    </w:p>
    <w:p>
      <w:pPr>
        <w:rPr>
          <w:sz w:val="28"/>
          <w:szCs w:val="28"/>
        </w:rPr>
      </w:pPr>
      <w:r>
        <w:rPr>
          <w:rFonts w:hint="eastAsia"/>
          <w:sz w:val="28"/>
          <w:szCs w:val="28"/>
        </w:rPr>
        <w:t xml:space="preserve">   工业和信息化部&amp;人社部颁发网络规划设计师</w:t>
      </w:r>
    </w:p>
    <w:p>
      <w:pPr>
        <w:rPr>
          <w:sz w:val="28"/>
          <w:szCs w:val="28"/>
        </w:rPr>
      </w:pPr>
      <w:r>
        <w:rPr>
          <w:rFonts w:hint="eastAsia"/>
          <w:sz w:val="28"/>
          <w:szCs w:val="28"/>
        </w:rPr>
        <w:t xml:space="preserve">   工业和信息化部颁发智慧城市规划师（高级）</w:t>
      </w:r>
    </w:p>
    <w:p>
      <w:pPr>
        <w:spacing w:line="400" w:lineRule="exact"/>
      </w:pPr>
    </w:p>
    <w:p>
      <w:pPr>
        <w:numPr>
          <w:ilvl w:val="0"/>
          <w:numId w:val="2"/>
        </w:numPr>
        <w:spacing w:line="400" w:lineRule="exact"/>
        <w:rPr>
          <w:b/>
          <w:sz w:val="28"/>
          <w:szCs w:val="28"/>
        </w:rPr>
      </w:pPr>
      <w:r>
        <w:rPr>
          <w:rFonts w:hint="eastAsia"/>
          <w:b/>
          <w:sz w:val="28"/>
          <w:szCs w:val="28"/>
        </w:rPr>
        <w:t>工作</w:t>
      </w:r>
      <w:r>
        <w:rPr>
          <w:b/>
          <w:sz w:val="28"/>
          <w:szCs w:val="28"/>
        </w:rPr>
        <w:t>经历</w:t>
      </w:r>
    </w:p>
    <w:p>
      <w:pPr>
        <w:rPr>
          <w:sz w:val="28"/>
          <w:szCs w:val="28"/>
        </w:rPr>
      </w:pPr>
      <w:r>
        <w:rPr>
          <w:b/>
          <w:sz w:val="28"/>
          <w:szCs w:val="28"/>
        </w:rPr>
        <w:t xml:space="preserve">  </w:t>
      </w:r>
      <w:r>
        <w:rPr>
          <w:rFonts w:hint="eastAsia"/>
          <w:sz w:val="28"/>
          <w:szCs w:val="28"/>
        </w:rPr>
        <w:t xml:space="preserve">  2020</w:t>
      </w:r>
      <w:r>
        <w:rPr>
          <w:rFonts w:hint="eastAsia"/>
          <w:sz w:val="28"/>
          <w:szCs w:val="28"/>
          <w:lang w:val="en-US" w:eastAsia="zh-Hans"/>
        </w:rPr>
        <w:t>.</w:t>
      </w:r>
      <w:r>
        <w:rPr>
          <w:rFonts w:hint="default"/>
          <w:sz w:val="28"/>
          <w:szCs w:val="28"/>
          <w:lang w:eastAsia="zh-Hans"/>
        </w:rPr>
        <w:t>9-</w:t>
      </w:r>
      <w:r>
        <w:rPr>
          <w:rFonts w:hint="eastAsia"/>
          <w:sz w:val="28"/>
          <w:szCs w:val="28"/>
          <w:lang w:val="en-US" w:eastAsia="zh-Hans"/>
        </w:rPr>
        <w:t>至今</w:t>
      </w:r>
      <w:r>
        <w:rPr>
          <w:rFonts w:hint="default"/>
          <w:sz w:val="28"/>
          <w:szCs w:val="28"/>
          <w:lang w:eastAsia="zh-Hans"/>
        </w:rPr>
        <w:t>：</w:t>
      </w:r>
      <w:r>
        <w:rPr>
          <w:rFonts w:hint="eastAsia"/>
          <w:sz w:val="28"/>
          <w:szCs w:val="28"/>
          <w:lang w:val="en-US" w:eastAsia="zh-Hans"/>
        </w:rPr>
        <w:t>职业讲师</w:t>
      </w:r>
    </w:p>
    <w:p>
      <w:pPr>
        <w:ind w:firstLine="420" w:firstLineChars="150"/>
        <w:rPr>
          <w:rFonts w:hint="eastAsia"/>
          <w:sz w:val="28"/>
          <w:szCs w:val="28"/>
        </w:rPr>
      </w:pPr>
      <w:r>
        <w:rPr>
          <w:rFonts w:hint="eastAsia"/>
          <w:sz w:val="28"/>
          <w:szCs w:val="28"/>
        </w:rPr>
        <w:t xml:space="preserve"> 2016.3-</w:t>
      </w:r>
      <w:r>
        <w:rPr>
          <w:rFonts w:hint="default"/>
          <w:sz w:val="28"/>
          <w:szCs w:val="28"/>
        </w:rPr>
        <w:t>2020</w:t>
      </w:r>
      <w:r>
        <w:rPr>
          <w:rFonts w:hint="eastAsia"/>
          <w:sz w:val="28"/>
          <w:szCs w:val="28"/>
          <w:lang w:val="en-US" w:eastAsia="zh-Hans"/>
        </w:rPr>
        <w:t>.</w:t>
      </w:r>
      <w:r>
        <w:rPr>
          <w:rFonts w:hint="default"/>
          <w:sz w:val="28"/>
          <w:szCs w:val="28"/>
          <w:lang w:eastAsia="zh-Hans"/>
        </w:rPr>
        <w:t>8</w:t>
      </w:r>
      <w:r>
        <w:rPr>
          <w:rFonts w:hint="eastAsia"/>
          <w:sz w:val="28"/>
          <w:szCs w:val="28"/>
        </w:rPr>
        <w:t>，</w:t>
      </w:r>
      <w:r>
        <w:rPr>
          <w:rFonts w:hint="eastAsia"/>
          <w:sz w:val="28"/>
          <w:szCs w:val="28"/>
          <w:lang w:val="en-US" w:eastAsia="zh-Hans"/>
        </w:rPr>
        <w:t>某检测机构负责人</w:t>
      </w:r>
      <w:r>
        <w:rPr>
          <w:rFonts w:hint="eastAsia"/>
          <w:sz w:val="28"/>
          <w:szCs w:val="28"/>
        </w:rPr>
        <w:t xml:space="preserve">   </w:t>
      </w:r>
    </w:p>
    <w:p>
      <w:pPr>
        <w:ind w:firstLine="420" w:firstLineChars="150"/>
        <w:rPr>
          <w:sz w:val="28"/>
          <w:szCs w:val="28"/>
        </w:rPr>
      </w:pPr>
      <w:r>
        <w:rPr>
          <w:rFonts w:hint="eastAsia"/>
          <w:sz w:val="28"/>
          <w:szCs w:val="28"/>
        </w:rPr>
        <w:t xml:space="preserve"> 2014.3-2016.3西咸新区沣东新城管委会 信息总监</w:t>
      </w:r>
    </w:p>
    <w:p>
      <w:pPr>
        <w:rPr>
          <w:sz w:val="28"/>
          <w:szCs w:val="28"/>
        </w:rPr>
      </w:pPr>
      <w:r>
        <w:rPr>
          <w:rFonts w:hint="eastAsia"/>
          <w:sz w:val="28"/>
          <w:szCs w:val="28"/>
        </w:rPr>
        <w:t xml:space="preserve">    2001.1-2012.7，西安高新区信息中心 技术部经理</w:t>
      </w:r>
    </w:p>
    <w:p>
      <w:pPr>
        <w:spacing w:line="400" w:lineRule="exact"/>
      </w:pPr>
    </w:p>
    <w:p>
      <w:pPr>
        <w:spacing w:line="400" w:lineRule="exact"/>
      </w:pPr>
      <w:r>
        <w:rPr>
          <w:rFonts w:hint="eastAsia"/>
          <w:b/>
          <w:sz w:val="28"/>
          <w:szCs w:val="28"/>
        </w:rPr>
        <w:t>五</w:t>
      </w:r>
      <w:r>
        <w:rPr>
          <w:b/>
          <w:sz w:val="28"/>
          <w:szCs w:val="28"/>
        </w:rPr>
        <w:t>、授课风格</w:t>
      </w:r>
    </w:p>
    <w:p>
      <w:pPr>
        <w:spacing w:line="400" w:lineRule="exact"/>
      </w:pPr>
      <w:r>
        <w:rPr>
          <w:rFonts w:hint="eastAsia"/>
        </w:rPr>
        <w:t xml:space="preserve">      </w:t>
      </w:r>
      <w:r>
        <w:rPr>
          <w:rFonts w:hint="eastAsia"/>
          <w:sz w:val="28"/>
          <w:szCs w:val="28"/>
        </w:rPr>
        <w:t>干货多、冷幽默，用实践案例和经验启发学员。</w:t>
      </w:r>
    </w:p>
    <w:p>
      <w:pPr>
        <w:spacing w:line="400" w:lineRule="exact"/>
        <w:rPr>
          <w:b/>
          <w:sz w:val="28"/>
          <w:szCs w:val="28"/>
        </w:rPr>
      </w:pPr>
      <w:r>
        <w:rPr>
          <w:rFonts w:hint="eastAsia"/>
          <w:b/>
          <w:sz w:val="28"/>
          <w:szCs w:val="28"/>
        </w:rPr>
        <w:t>六、</w:t>
      </w:r>
      <w:r>
        <w:rPr>
          <w:b/>
          <w:sz w:val="28"/>
          <w:szCs w:val="28"/>
        </w:rPr>
        <w:t>主讲课程</w:t>
      </w:r>
    </w:p>
    <w:p>
      <w:pPr>
        <w:spacing w:line="400" w:lineRule="exact"/>
        <w:rPr>
          <w:sz w:val="28"/>
          <w:szCs w:val="28"/>
        </w:rPr>
      </w:pPr>
      <w:r>
        <w:rPr>
          <w:rFonts w:hint="eastAsia"/>
          <w:sz w:val="28"/>
          <w:szCs w:val="28"/>
        </w:rPr>
        <w:t xml:space="preserve">   评标专家应知应会</w:t>
      </w:r>
    </w:p>
    <w:p>
      <w:pPr>
        <w:spacing w:line="400" w:lineRule="exact"/>
        <w:rPr>
          <w:sz w:val="28"/>
          <w:szCs w:val="28"/>
        </w:rPr>
      </w:pPr>
      <w:r>
        <w:rPr>
          <w:rFonts w:hint="eastAsia"/>
          <w:sz w:val="28"/>
          <w:szCs w:val="28"/>
        </w:rPr>
        <w:t xml:space="preserve">   评标实务与职业操守</w:t>
      </w:r>
    </w:p>
    <w:p>
      <w:pPr>
        <w:spacing w:line="400" w:lineRule="exact"/>
        <w:rPr>
          <w:sz w:val="28"/>
          <w:szCs w:val="28"/>
        </w:rPr>
      </w:pPr>
      <w:r>
        <w:rPr>
          <w:rFonts w:hint="eastAsia"/>
          <w:sz w:val="28"/>
          <w:szCs w:val="28"/>
        </w:rPr>
        <w:t xml:space="preserve">   招标投标实务与案例分析</w:t>
      </w:r>
    </w:p>
    <w:p>
      <w:pPr>
        <w:spacing w:line="400" w:lineRule="exact"/>
        <w:rPr>
          <w:sz w:val="28"/>
          <w:szCs w:val="28"/>
        </w:rPr>
      </w:pPr>
      <w:r>
        <w:rPr>
          <w:rFonts w:hint="eastAsia"/>
          <w:sz w:val="28"/>
          <w:szCs w:val="28"/>
        </w:rPr>
        <w:t xml:space="preserve">   政府采购操作实务与新政解读</w:t>
      </w:r>
    </w:p>
    <w:p>
      <w:pPr>
        <w:spacing w:line="400" w:lineRule="exact"/>
        <w:rPr>
          <w:sz w:val="28"/>
          <w:szCs w:val="28"/>
        </w:rPr>
      </w:pPr>
      <w:r>
        <w:rPr>
          <w:rFonts w:hint="eastAsia"/>
          <w:sz w:val="28"/>
          <w:szCs w:val="28"/>
        </w:rPr>
        <w:t xml:space="preserve">   国有企业采购与评标实务</w:t>
      </w:r>
    </w:p>
    <w:p>
      <w:pPr>
        <w:spacing w:line="400" w:lineRule="exact"/>
        <w:rPr>
          <w:sz w:val="28"/>
          <w:szCs w:val="28"/>
        </w:rPr>
      </w:pPr>
      <w:r>
        <w:rPr>
          <w:rFonts w:hint="eastAsia"/>
          <w:sz w:val="28"/>
          <w:szCs w:val="28"/>
        </w:rPr>
        <w:t xml:space="preserve">   投标文件编制与救济手段运用</w:t>
      </w:r>
    </w:p>
    <w:p>
      <w:pPr>
        <w:spacing w:line="400" w:lineRule="exact"/>
        <w:rPr>
          <w:sz w:val="28"/>
          <w:szCs w:val="28"/>
        </w:rPr>
      </w:pPr>
      <w:r>
        <w:rPr>
          <w:rFonts w:hint="eastAsia"/>
          <w:sz w:val="28"/>
          <w:szCs w:val="28"/>
        </w:rPr>
        <w:t xml:space="preserve">   投标实务与技巧提升</w:t>
      </w:r>
    </w:p>
    <w:p>
      <w:pPr>
        <w:spacing w:line="400" w:lineRule="exact"/>
        <w:rPr>
          <w:sz w:val="28"/>
          <w:szCs w:val="28"/>
        </w:rPr>
      </w:pPr>
      <w:r>
        <w:rPr>
          <w:rFonts w:hint="eastAsia"/>
          <w:sz w:val="28"/>
          <w:szCs w:val="28"/>
        </w:rPr>
        <w:t xml:space="preserve">   招标采购审计与风险管控实务。</w:t>
      </w:r>
    </w:p>
    <w:p>
      <w:pPr>
        <w:spacing w:line="400" w:lineRule="exact"/>
        <w:rPr>
          <w:sz w:val="28"/>
          <w:szCs w:val="28"/>
        </w:rPr>
      </w:pPr>
      <w:r>
        <w:rPr>
          <w:rFonts w:hint="eastAsia"/>
          <w:sz w:val="28"/>
          <w:szCs w:val="28"/>
        </w:rPr>
        <w:t xml:space="preserve">  《国有企业采购操作规范》的理解与适用</w:t>
      </w:r>
    </w:p>
    <w:p>
      <w:pPr>
        <w:spacing w:line="400" w:lineRule="exact"/>
        <w:rPr>
          <w:sz w:val="28"/>
          <w:szCs w:val="28"/>
        </w:rPr>
      </w:pPr>
      <w:r>
        <w:rPr>
          <w:rFonts w:hint="eastAsia"/>
          <w:sz w:val="28"/>
          <w:szCs w:val="28"/>
        </w:rPr>
        <w:t xml:space="preserve">   采购全流程审计实操</w:t>
      </w:r>
    </w:p>
    <w:p>
      <w:pPr>
        <w:spacing w:line="400" w:lineRule="exact"/>
        <w:rPr>
          <w:sz w:val="28"/>
          <w:szCs w:val="28"/>
        </w:rPr>
      </w:pPr>
    </w:p>
    <w:p>
      <w:pPr>
        <w:spacing w:line="400" w:lineRule="exact"/>
        <w:rPr>
          <w:b/>
          <w:sz w:val="28"/>
          <w:szCs w:val="28"/>
        </w:rPr>
      </w:pPr>
      <w:r>
        <w:rPr>
          <w:rFonts w:hint="eastAsia"/>
          <w:b/>
          <w:sz w:val="28"/>
          <w:szCs w:val="28"/>
        </w:rPr>
        <w:t>七</w:t>
      </w:r>
      <w:r>
        <w:rPr>
          <w:b/>
          <w:sz w:val="28"/>
          <w:szCs w:val="28"/>
        </w:rPr>
        <w:t>、</w:t>
      </w:r>
      <w:r>
        <w:rPr>
          <w:rFonts w:hint="eastAsia"/>
          <w:b/>
          <w:sz w:val="28"/>
          <w:szCs w:val="28"/>
        </w:rPr>
        <w:t>服务过</w:t>
      </w:r>
      <w:r>
        <w:rPr>
          <w:b/>
          <w:sz w:val="28"/>
          <w:szCs w:val="28"/>
        </w:rPr>
        <w:t>的客户</w:t>
      </w:r>
    </w:p>
    <w:p>
      <w:pPr>
        <w:spacing w:line="400" w:lineRule="exact"/>
        <w:rPr>
          <w:sz w:val="28"/>
          <w:szCs w:val="28"/>
        </w:rPr>
      </w:pPr>
      <w:r>
        <w:rPr>
          <w:rFonts w:hint="eastAsia"/>
        </w:rPr>
        <w:t xml:space="preserve">     </w:t>
      </w:r>
      <w:r>
        <w:rPr>
          <w:rFonts w:hint="eastAsia"/>
          <w:sz w:val="28"/>
          <w:szCs w:val="28"/>
        </w:rPr>
        <w:t>央（国）企：</w:t>
      </w:r>
      <w:r>
        <w:rPr>
          <w:rFonts w:hint="eastAsia"/>
          <w:sz w:val="28"/>
          <w:szCs w:val="28"/>
          <w:lang w:val="en-US" w:eastAsia="zh-Hans"/>
        </w:rPr>
        <w:t>中国化学</w:t>
      </w:r>
      <w:r>
        <w:rPr>
          <w:rFonts w:hint="default"/>
          <w:sz w:val="28"/>
          <w:szCs w:val="28"/>
          <w:lang w:eastAsia="zh-Hans"/>
        </w:rPr>
        <w:t>、</w:t>
      </w:r>
      <w:r>
        <w:rPr>
          <w:rFonts w:hint="eastAsia"/>
          <w:sz w:val="28"/>
          <w:szCs w:val="28"/>
          <w:lang w:val="en-US" w:eastAsia="zh-Hans"/>
        </w:rPr>
        <w:t>中国能建</w:t>
      </w:r>
      <w:r>
        <w:rPr>
          <w:rFonts w:hint="default"/>
          <w:sz w:val="28"/>
          <w:szCs w:val="28"/>
          <w:lang w:eastAsia="zh-Hans"/>
        </w:rPr>
        <w:t>、</w:t>
      </w:r>
      <w:r>
        <w:rPr>
          <w:rFonts w:hint="eastAsia"/>
          <w:sz w:val="28"/>
          <w:szCs w:val="28"/>
          <w:lang w:val="en-US" w:eastAsia="zh-Hans"/>
        </w:rPr>
        <w:t>深圳水务集团</w:t>
      </w:r>
      <w:r>
        <w:rPr>
          <w:rFonts w:hint="default"/>
          <w:sz w:val="28"/>
          <w:szCs w:val="28"/>
          <w:lang w:eastAsia="zh-Hans"/>
        </w:rPr>
        <w:t>、</w:t>
      </w:r>
      <w:r>
        <w:rPr>
          <w:rFonts w:hint="eastAsia"/>
          <w:sz w:val="28"/>
          <w:szCs w:val="28"/>
        </w:rPr>
        <w:t>中国福利彩票发行管理中心、中国六冶、中国石油集团测井有限公司、中国交建集团、中钞长城贵金属有限公司、中国通信建设第二工程局、中国电信、山东省黄金集团</w:t>
      </w:r>
      <w:r>
        <w:rPr>
          <w:rFonts w:hint="default"/>
          <w:sz w:val="28"/>
          <w:szCs w:val="28"/>
        </w:rPr>
        <w:t>、</w:t>
      </w:r>
      <w:r>
        <w:rPr>
          <w:rFonts w:hint="eastAsia"/>
          <w:sz w:val="28"/>
          <w:szCs w:val="28"/>
          <w:lang w:val="en-US" w:eastAsia="zh-Hans"/>
        </w:rPr>
        <w:t>西咸新区公交集团</w:t>
      </w:r>
      <w:r>
        <w:rPr>
          <w:rFonts w:hint="default"/>
          <w:sz w:val="28"/>
          <w:szCs w:val="28"/>
          <w:lang w:eastAsia="zh-Hans"/>
        </w:rPr>
        <w:t>、</w:t>
      </w:r>
      <w:r>
        <w:rPr>
          <w:rFonts w:hint="eastAsia"/>
          <w:sz w:val="28"/>
          <w:szCs w:val="28"/>
          <w:lang w:val="en-US" w:eastAsia="zh-Hans"/>
        </w:rPr>
        <w:t>延长石油陕化建集团</w:t>
      </w:r>
      <w:r>
        <w:rPr>
          <w:rFonts w:hint="eastAsia"/>
          <w:sz w:val="28"/>
          <w:szCs w:val="28"/>
        </w:rPr>
        <w:t>等；</w:t>
      </w:r>
    </w:p>
    <w:p>
      <w:pPr>
        <w:spacing w:line="400" w:lineRule="exact"/>
        <w:rPr>
          <w:sz w:val="28"/>
          <w:szCs w:val="28"/>
        </w:rPr>
      </w:pPr>
      <w:r>
        <w:rPr>
          <w:rFonts w:hint="eastAsia"/>
          <w:sz w:val="28"/>
          <w:szCs w:val="28"/>
        </w:rPr>
        <w:t xml:space="preserve">    政府社会团体：</w:t>
      </w:r>
      <w:r>
        <w:rPr>
          <w:rFonts w:hint="eastAsia"/>
          <w:sz w:val="28"/>
          <w:szCs w:val="28"/>
          <w:lang w:val="en-US" w:eastAsia="zh-Hans"/>
        </w:rPr>
        <w:t>四季牧歌集团</w:t>
      </w:r>
      <w:r>
        <w:rPr>
          <w:rFonts w:hint="default"/>
          <w:sz w:val="28"/>
          <w:szCs w:val="28"/>
          <w:lang w:eastAsia="zh-Hans"/>
        </w:rPr>
        <w:t>、</w:t>
      </w:r>
      <w:r>
        <w:rPr>
          <w:rFonts w:hint="eastAsia"/>
          <w:sz w:val="28"/>
          <w:szCs w:val="28"/>
        </w:rPr>
        <w:t>内蒙古自治区财政厅、内蒙古自治区公共资源交易管理服务中心、兴安盟公共资源交易中心（政府采购中心）、乌兰浩特市政府采购中心、包头市政府采购中心、阿拉善盟政府采购中心、陕西省公共资源交易中心，永州市城市管理和综合执法局、杨凌示范区公共资源交易中心、甘肃省产权交易所、内蒙古招标采购协会</w:t>
      </w:r>
      <w:r>
        <w:rPr>
          <w:rFonts w:hint="default"/>
          <w:sz w:val="28"/>
          <w:szCs w:val="28"/>
        </w:rPr>
        <w:t>、</w:t>
      </w:r>
      <w:r>
        <w:rPr>
          <w:rFonts w:hint="eastAsia"/>
          <w:sz w:val="28"/>
          <w:szCs w:val="28"/>
          <w:lang w:val="en-US" w:eastAsia="zh-Hans"/>
        </w:rPr>
        <w:t>辽宁省政府采购协会</w:t>
      </w:r>
      <w:r>
        <w:rPr>
          <w:rFonts w:hint="eastAsia"/>
          <w:sz w:val="28"/>
          <w:szCs w:val="28"/>
        </w:rPr>
        <w:t>等。</w:t>
      </w:r>
    </w:p>
    <w:p>
      <w:pPr>
        <w:spacing w:line="400" w:lineRule="exact"/>
        <w:rPr>
          <w:b/>
        </w:rPr>
      </w:pPr>
      <w:r>
        <w:rPr>
          <w:rFonts w:hint="eastAsia"/>
          <w:sz w:val="28"/>
          <w:szCs w:val="28"/>
        </w:rPr>
        <w:t xml:space="preserve">      </w:t>
      </w:r>
    </w:p>
    <w:p>
      <w:pPr>
        <w:spacing w:line="400" w:lineRule="exact"/>
        <w:jc w:val="left"/>
        <w:rPr>
          <w:rFonts w:ascii="微软雅黑" w:hAnsi="微软雅黑" w:eastAsia="微软雅黑"/>
          <w:b/>
          <w:bCs/>
          <w:color w:val="000000"/>
          <w:szCs w:val="24"/>
        </w:rPr>
      </w:pPr>
      <w:r>
        <w:rPr>
          <w:rFonts w:hint="eastAsia"/>
          <w:b/>
          <w:sz w:val="28"/>
          <w:szCs w:val="28"/>
        </w:rPr>
        <w:t>八</w:t>
      </w:r>
      <w:r>
        <w:rPr>
          <w:b/>
          <w:sz w:val="28"/>
          <w:szCs w:val="28"/>
        </w:rPr>
        <w:t>、授课照片</w:t>
      </w:r>
      <w:r>
        <w:rPr>
          <w:rFonts w:hint="eastAsia"/>
          <w:b/>
          <w:sz w:val="28"/>
          <w:szCs w:val="28"/>
        </w:rPr>
        <w:t>（</w:t>
      </w:r>
      <w:r>
        <w:rPr>
          <w:rFonts w:hint="eastAsia" w:ascii="微软雅黑" w:hAnsi="微软雅黑" w:eastAsia="微软雅黑"/>
          <w:b/>
          <w:bCs/>
          <w:color w:val="000000"/>
          <w:szCs w:val="24"/>
        </w:rPr>
        <w:t>部分线下授课画面分享</w:t>
      </w:r>
      <w:r>
        <w:rPr>
          <w:rFonts w:hint="eastAsia"/>
          <w:b/>
          <w:sz w:val="28"/>
          <w:szCs w:val="28"/>
        </w:rPr>
        <w:t>）</w:t>
      </w:r>
    </w:p>
    <w:tbl>
      <w:tblPr>
        <w:tblStyle w:val="5"/>
        <w:tblW w:w="9639" w:type="dxa"/>
        <w:tblInd w:w="108" w:type="dxa"/>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CellMar>
          <w:top w:w="0" w:type="dxa"/>
          <w:left w:w="108" w:type="dxa"/>
          <w:bottom w:w="0" w:type="dxa"/>
          <w:right w:w="108" w:type="dxa"/>
        </w:tblCellMar>
      </w:tblPr>
      <w:tblGrid>
        <w:gridCol w:w="4820"/>
        <w:gridCol w:w="4819"/>
      </w:tblGrid>
      <w:tr>
        <w:trPr>
          <w:trHeight w:val="2807" w:hRule="atLeast"/>
        </w:trPr>
        <w:tc>
          <w:tcPr>
            <w:tcW w:w="4820" w:type="dxa"/>
          </w:tcPr>
          <w:p>
            <w:pPr>
              <w:tabs>
                <w:tab w:val="left" w:pos="2880"/>
              </w:tabs>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922905" cy="1948815"/>
                  <wp:effectExtent l="0" t="0" r="23495" b="6985"/>
                  <wp:docPr id="4" name="图片 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
                          <pic:cNvPicPr>
                            <a:picLocks noChangeAspect="1"/>
                          </pic:cNvPicPr>
                        </pic:nvPicPr>
                        <pic:blipFill>
                          <a:blip r:embed="rId5"/>
                          <a:stretch>
                            <a:fillRect/>
                          </a:stretch>
                        </pic:blipFill>
                        <pic:spPr>
                          <a:xfrm>
                            <a:off x="0" y="0"/>
                            <a:ext cx="2922905" cy="1948815"/>
                          </a:xfrm>
                          <a:prstGeom prst="rect">
                            <a:avLst/>
                          </a:prstGeom>
                        </pic:spPr>
                      </pic:pic>
                    </a:graphicData>
                  </a:graphic>
                </wp:inline>
              </w:drawing>
            </w:r>
          </w:p>
        </w:tc>
        <w:tc>
          <w:tcPr>
            <w:tcW w:w="4819" w:type="dxa"/>
          </w:tcPr>
          <w:p>
            <w:pPr>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920365" cy="1951990"/>
                  <wp:effectExtent l="0" t="0" r="635" b="3810"/>
                  <wp:docPr id="12" name="图片 12" descr="20190628143420_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190628143420_184"/>
                          <pic:cNvPicPr>
                            <a:picLocks noChangeAspect="1"/>
                          </pic:cNvPicPr>
                        </pic:nvPicPr>
                        <pic:blipFill>
                          <a:blip r:embed="rId6"/>
                          <a:stretch>
                            <a:fillRect/>
                          </a:stretch>
                        </pic:blipFill>
                        <pic:spPr>
                          <a:xfrm>
                            <a:off x="0" y="0"/>
                            <a:ext cx="2920365" cy="1951990"/>
                          </a:xfrm>
                          <a:prstGeom prst="rect">
                            <a:avLst/>
                          </a:prstGeom>
                        </pic:spPr>
                      </pic:pic>
                    </a:graphicData>
                  </a:graphic>
                </wp:inline>
              </w:drawing>
            </w:r>
          </w:p>
        </w:tc>
      </w:tr>
      <w:tr>
        <w:trPr>
          <w:trHeight w:val="803" w:hRule="atLeast"/>
        </w:trPr>
        <w:tc>
          <w:tcPr>
            <w:tcW w:w="4820" w:type="dxa"/>
          </w:tcPr>
          <w:p>
            <w:pPr>
              <w:adjustRightInd w:val="0"/>
              <w:snapToGrid w:val="0"/>
              <w:spacing w:line="360" w:lineRule="exact"/>
              <w:ind w:firstLine="420"/>
              <w:jc w:val="center"/>
              <w:rPr>
                <w:rFonts w:ascii="微软雅黑" w:hAnsi="微软雅黑" w:eastAsia="微软雅黑"/>
                <w:szCs w:val="21"/>
              </w:rPr>
            </w:pPr>
            <w:r>
              <w:rPr>
                <w:rFonts w:hint="eastAsia" w:ascii="微软雅黑" w:hAnsi="微软雅黑" w:eastAsia="微软雅黑"/>
                <w:szCs w:val="21"/>
              </w:rPr>
              <w:t>内蒙古自治区财政厅&amp;内蒙古自治区公共资源交易管理服务中心第1-2期评审专家培训</w:t>
            </w:r>
          </w:p>
        </w:tc>
        <w:tc>
          <w:tcPr>
            <w:tcW w:w="4819" w:type="dxa"/>
          </w:tcPr>
          <w:p>
            <w:pPr>
              <w:adjustRightInd w:val="0"/>
              <w:snapToGrid w:val="0"/>
              <w:spacing w:line="360" w:lineRule="exact"/>
              <w:ind w:firstLine="420"/>
              <w:jc w:val="center"/>
              <w:rPr>
                <w:rFonts w:ascii="微软雅黑" w:hAnsi="微软雅黑" w:eastAsia="微软雅黑"/>
                <w:szCs w:val="21"/>
              </w:rPr>
            </w:pPr>
            <w:r>
              <w:rPr>
                <w:rFonts w:hint="eastAsia" w:ascii="微软雅黑" w:hAnsi="微软雅黑" w:eastAsia="微软雅黑"/>
                <w:szCs w:val="21"/>
              </w:rPr>
              <w:t>内蒙古自治区财政厅&amp;内蒙古自治区公共资源交易管理服务中心第3-4期评审专家培训</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Ex>
        <w:trPr>
          <w:trHeight w:val="2677" w:hRule="atLeast"/>
        </w:trPr>
        <w:tc>
          <w:tcPr>
            <w:tcW w:w="4820" w:type="dxa"/>
          </w:tcPr>
          <w:p>
            <w:pPr>
              <w:tabs>
                <w:tab w:val="left" w:pos="2880"/>
              </w:tabs>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917825" cy="1892935"/>
                  <wp:effectExtent l="0" t="0" r="3175" b="12065"/>
                  <wp:docPr id="13" name="图片 1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5"/>
                          <pic:cNvPicPr>
                            <a:picLocks noChangeAspect="1"/>
                          </pic:cNvPicPr>
                        </pic:nvPicPr>
                        <pic:blipFill>
                          <a:blip r:embed="rId7"/>
                          <a:stretch>
                            <a:fillRect/>
                          </a:stretch>
                        </pic:blipFill>
                        <pic:spPr>
                          <a:xfrm>
                            <a:off x="0" y="0"/>
                            <a:ext cx="2917825" cy="1892935"/>
                          </a:xfrm>
                          <a:prstGeom prst="rect">
                            <a:avLst/>
                          </a:prstGeom>
                        </pic:spPr>
                      </pic:pic>
                    </a:graphicData>
                  </a:graphic>
                </wp:inline>
              </w:drawing>
            </w:r>
          </w:p>
        </w:tc>
        <w:tc>
          <w:tcPr>
            <w:tcW w:w="4819" w:type="dxa"/>
          </w:tcPr>
          <w:p>
            <w:pPr>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493010" cy="1870075"/>
                  <wp:effectExtent l="0" t="0" r="21590" b="9525"/>
                  <wp:docPr id="5"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
                          <pic:cNvPicPr>
                            <a:picLocks noChangeAspect="1"/>
                          </pic:cNvPicPr>
                        </pic:nvPicPr>
                        <pic:blipFill>
                          <a:blip r:embed="rId8"/>
                          <a:stretch>
                            <a:fillRect/>
                          </a:stretch>
                        </pic:blipFill>
                        <pic:spPr>
                          <a:xfrm>
                            <a:off x="0" y="0"/>
                            <a:ext cx="2493010" cy="1870075"/>
                          </a:xfrm>
                          <a:prstGeom prst="rect">
                            <a:avLst/>
                          </a:prstGeom>
                        </pic:spPr>
                      </pic:pic>
                    </a:graphicData>
                  </a:graphic>
                </wp:inline>
              </w:drawing>
            </w:r>
          </w:p>
        </w:tc>
      </w:tr>
      <w:tr>
        <w:trPr>
          <w:trHeight w:val="803" w:hRule="atLeast"/>
        </w:trPr>
        <w:tc>
          <w:tcPr>
            <w:tcW w:w="4820" w:type="dxa"/>
          </w:tcPr>
          <w:p>
            <w:pPr>
              <w:adjustRightInd w:val="0"/>
              <w:snapToGrid w:val="0"/>
              <w:spacing w:line="360" w:lineRule="exact"/>
              <w:ind w:firstLine="420"/>
              <w:jc w:val="center"/>
              <w:rPr>
                <w:rFonts w:ascii="微软雅黑" w:hAnsi="微软雅黑" w:eastAsia="微软雅黑"/>
                <w:szCs w:val="21"/>
              </w:rPr>
            </w:pPr>
            <w:r>
              <w:rPr>
                <w:rFonts w:hint="eastAsia" w:ascii="微软雅黑" w:hAnsi="微软雅黑" w:eastAsia="微软雅黑"/>
                <w:szCs w:val="21"/>
              </w:rPr>
              <w:t>内蒙古自治区财政厅&amp;内蒙古自治区公共资源交易管理服务中心2019年新入库评审专家培训</w:t>
            </w:r>
          </w:p>
        </w:tc>
        <w:tc>
          <w:tcPr>
            <w:tcW w:w="4819" w:type="dxa"/>
          </w:tcPr>
          <w:p>
            <w:pPr>
              <w:adjustRightInd w:val="0"/>
              <w:snapToGrid w:val="0"/>
              <w:spacing w:line="360" w:lineRule="exact"/>
              <w:ind w:firstLine="420"/>
              <w:jc w:val="center"/>
              <w:rPr>
                <w:rFonts w:ascii="微软雅黑" w:hAnsi="微软雅黑" w:eastAsia="微软雅黑"/>
                <w:szCs w:val="21"/>
              </w:rPr>
            </w:pPr>
            <w:r>
              <w:rPr>
                <w:rFonts w:hint="eastAsia" w:ascii="微软雅黑" w:hAnsi="微软雅黑" w:eastAsia="微软雅黑"/>
                <w:szCs w:val="21"/>
              </w:rPr>
              <w:t>内蒙古自治区兴安盟政府采购评审专家培训</w:t>
            </w:r>
          </w:p>
        </w:tc>
      </w:tr>
      <w:tr>
        <w:tblPrEx>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Ex>
        <w:trPr>
          <w:trHeight w:val="2966" w:hRule="atLeast"/>
        </w:trPr>
        <w:tc>
          <w:tcPr>
            <w:tcW w:w="4820" w:type="dxa"/>
          </w:tcPr>
          <w:p>
            <w:pPr>
              <w:tabs>
                <w:tab w:val="left" w:pos="2880"/>
              </w:tabs>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919095" cy="2189480"/>
                  <wp:effectExtent l="0" t="0" r="1905" b="20320"/>
                  <wp:docPr id="14" name="图片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
                          <pic:cNvPicPr>
                            <a:picLocks noChangeAspect="1"/>
                          </pic:cNvPicPr>
                        </pic:nvPicPr>
                        <pic:blipFill>
                          <a:blip r:embed="rId9"/>
                          <a:stretch>
                            <a:fillRect/>
                          </a:stretch>
                        </pic:blipFill>
                        <pic:spPr>
                          <a:xfrm>
                            <a:off x="0" y="0"/>
                            <a:ext cx="2919095" cy="2189480"/>
                          </a:xfrm>
                          <a:prstGeom prst="rect">
                            <a:avLst/>
                          </a:prstGeom>
                        </pic:spPr>
                      </pic:pic>
                    </a:graphicData>
                  </a:graphic>
                </wp:inline>
              </w:drawing>
            </w:r>
          </w:p>
        </w:tc>
        <w:tc>
          <w:tcPr>
            <w:tcW w:w="4819" w:type="dxa"/>
          </w:tcPr>
          <w:p>
            <w:pPr>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913380" cy="1942465"/>
                  <wp:effectExtent l="0" t="0" r="7620" b="13335"/>
                  <wp:docPr id="16" name="图片 16" descr="微信图片_2019110515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191105150117"/>
                          <pic:cNvPicPr>
                            <a:picLocks noChangeAspect="1"/>
                          </pic:cNvPicPr>
                        </pic:nvPicPr>
                        <pic:blipFill>
                          <a:blip r:embed="rId10"/>
                          <a:stretch>
                            <a:fillRect/>
                          </a:stretch>
                        </pic:blipFill>
                        <pic:spPr>
                          <a:xfrm>
                            <a:off x="0" y="0"/>
                            <a:ext cx="2913380" cy="1942465"/>
                          </a:xfrm>
                          <a:prstGeom prst="rect">
                            <a:avLst/>
                          </a:prstGeom>
                        </pic:spPr>
                      </pic:pic>
                    </a:graphicData>
                  </a:graphic>
                </wp:inline>
              </w:drawing>
            </w:r>
          </w:p>
        </w:tc>
      </w:tr>
      <w:tr>
        <w:trPr>
          <w:trHeight w:val="792" w:hRule="atLeast"/>
        </w:trPr>
        <w:tc>
          <w:tcPr>
            <w:tcW w:w="4820" w:type="dxa"/>
          </w:tcPr>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中国交建集团第9期</w:t>
            </w:r>
          </w:p>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w:t>
            </w:r>
            <w:r>
              <w:rPr>
                <w:rFonts w:hint="eastAsia"/>
              </w:rPr>
              <w:t>评标专家应知应会</w:t>
            </w:r>
            <w:r>
              <w:rPr>
                <w:rFonts w:hint="eastAsia" w:ascii="微软雅黑" w:hAnsi="微软雅黑" w:eastAsia="微软雅黑"/>
                <w:szCs w:val="21"/>
              </w:rPr>
              <w:t>》</w:t>
            </w:r>
          </w:p>
        </w:tc>
        <w:tc>
          <w:tcPr>
            <w:tcW w:w="4819" w:type="dxa"/>
          </w:tcPr>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中国交建集团第11期</w:t>
            </w:r>
          </w:p>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w:t>
            </w:r>
            <w:r>
              <w:rPr>
                <w:rFonts w:hint="eastAsia"/>
              </w:rPr>
              <w:t>评标专家应知应会</w:t>
            </w:r>
            <w:r>
              <w:rPr>
                <w:rFonts w:hint="eastAsia" w:ascii="微软雅黑" w:hAnsi="微软雅黑" w:eastAsia="微软雅黑"/>
                <w:szCs w:val="21"/>
              </w:rPr>
              <w:t>》</w:t>
            </w:r>
          </w:p>
        </w:tc>
      </w:tr>
      <w:tr>
        <w:trPr>
          <w:trHeight w:val="2677" w:hRule="atLeast"/>
        </w:trPr>
        <w:tc>
          <w:tcPr>
            <w:tcW w:w="4820" w:type="dxa"/>
          </w:tcPr>
          <w:p>
            <w:pPr>
              <w:tabs>
                <w:tab w:val="left" w:pos="2880"/>
              </w:tabs>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918460" cy="2188845"/>
                  <wp:effectExtent l="0" t="0" r="2540" b="20955"/>
                  <wp:docPr id="32" name="图片 3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3"/>
                          <pic:cNvPicPr>
                            <a:picLocks noChangeAspect="1"/>
                          </pic:cNvPicPr>
                        </pic:nvPicPr>
                        <pic:blipFill>
                          <a:blip r:embed="rId11"/>
                          <a:stretch>
                            <a:fillRect/>
                          </a:stretch>
                        </pic:blipFill>
                        <pic:spPr>
                          <a:xfrm>
                            <a:off x="0" y="0"/>
                            <a:ext cx="2918460" cy="2188845"/>
                          </a:xfrm>
                          <a:prstGeom prst="rect">
                            <a:avLst/>
                          </a:prstGeom>
                        </pic:spPr>
                      </pic:pic>
                    </a:graphicData>
                  </a:graphic>
                </wp:inline>
              </w:drawing>
            </w:r>
          </w:p>
        </w:tc>
        <w:tc>
          <w:tcPr>
            <w:tcW w:w="4819" w:type="dxa"/>
          </w:tcPr>
          <w:p>
            <w:pPr>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896235" cy="1931035"/>
                  <wp:effectExtent l="0" t="0" r="24765" b="24765"/>
                  <wp:docPr id="58" name="图片 5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3"/>
                          <pic:cNvPicPr>
                            <a:picLocks noChangeAspect="1"/>
                          </pic:cNvPicPr>
                        </pic:nvPicPr>
                        <pic:blipFill>
                          <a:blip r:embed="rId12"/>
                          <a:stretch>
                            <a:fillRect/>
                          </a:stretch>
                        </pic:blipFill>
                        <pic:spPr>
                          <a:xfrm>
                            <a:off x="0" y="0"/>
                            <a:ext cx="2896235" cy="1931035"/>
                          </a:xfrm>
                          <a:prstGeom prst="rect">
                            <a:avLst/>
                          </a:prstGeom>
                        </pic:spPr>
                      </pic:pic>
                    </a:graphicData>
                  </a:graphic>
                </wp:inline>
              </w:drawing>
            </w:r>
          </w:p>
        </w:tc>
      </w:tr>
      <w:tr>
        <w:trPr>
          <w:trHeight w:val="803" w:hRule="atLeast"/>
        </w:trPr>
        <w:tc>
          <w:tcPr>
            <w:tcW w:w="4820" w:type="dxa"/>
          </w:tcPr>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中钞长城贵金属有限公司</w:t>
            </w:r>
          </w:p>
          <w:p>
            <w:pPr>
              <w:ind w:firstLine="420"/>
              <w:jc w:val="center"/>
              <w:rPr>
                <w:rFonts w:ascii="微软雅黑" w:hAnsi="微软雅黑" w:eastAsia="微软雅黑"/>
                <w:szCs w:val="21"/>
              </w:rPr>
            </w:pPr>
            <w:r>
              <w:rPr>
                <w:rFonts w:hint="eastAsia"/>
              </w:rPr>
              <w:t>《国有企业物资采购与评标实务》</w:t>
            </w:r>
          </w:p>
        </w:tc>
        <w:tc>
          <w:tcPr>
            <w:tcW w:w="4819" w:type="dxa"/>
          </w:tcPr>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中石油测井有限公司</w:t>
            </w:r>
          </w:p>
          <w:p>
            <w:pPr>
              <w:ind w:firstLine="420"/>
              <w:jc w:val="center"/>
              <w:rPr>
                <w:rFonts w:ascii="微软雅黑" w:hAnsi="微软雅黑" w:eastAsia="微软雅黑"/>
                <w:szCs w:val="21"/>
              </w:rPr>
            </w:pPr>
            <w:r>
              <w:rPr>
                <w:rFonts w:hint="eastAsia"/>
              </w:rPr>
              <w:t>《国有企业物资采购与评标实务》</w:t>
            </w:r>
          </w:p>
        </w:tc>
      </w:tr>
      <w:tr>
        <w:trPr>
          <w:trHeight w:val="2966" w:hRule="atLeast"/>
        </w:trPr>
        <w:tc>
          <w:tcPr>
            <w:tcW w:w="4820" w:type="dxa"/>
          </w:tcPr>
          <w:p>
            <w:pPr>
              <w:tabs>
                <w:tab w:val="left" w:pos="2880"/>
              </w:tabs>
              <w:jc w:val="center"/>
              <w:rPr>
                <w:rFonts w:ascii="微软雅黑" w:hAnsi="微软雅黑" w:eastAsia="微软雅黑"/>
                <w:sz w:val="24"/>
                <w:szCs w:val="24"/>
              </w:rPr>
            </w:pPr>
            <w:r>
              <w:rPr>
                <w:rFonts w:hint="eastAsia" w:ascii="微软雅黑" w:hAnsi="微软雅黑" w:eastAsia="微软雅黑"/>
                <w:sz w:val="24"/>
                <w:szCs w:val="24"/>
              </w:rPr>
              <w:drawing>
                <wp:inline distT="0" distB="0" distL="114300" distR="114300">
                  <wp:extent cx="2919095" cy="2189480"/>
                  <wp:effectExtent l="0" t="0" r="1905" b="20320"/>
                  <wp:docPr id="55" name="图片 5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
                          <pic:cNvPicPr>
                            <a:picLocks noChangeAspect="1"/>
                          </pic:cNvPicPr>
                        </pic:nvPicPr>
                        <pic:blipFill>
                          <a:blip r:embed="rId13"/>
                          <a:stretch>
                            <a:fillRect/>
                          </a:stretch>
                        </pic:blipFill>
                        <pic:spPr>
                          <a:xfrm>
                            <a:off x="0" y="0"/>
                            <a:ext cx="2919095" cy="2189480"/>
                          </a:xfrm>
                          <a:prstGeom prst="rect">
                            <a:avLst/>
                          </a:prstGeom>
                        </pic:spPr>
                      </pic:pic>
                    </a:graphicData>
                  </a:graphic>
                </wp:inline>
              </w:drawing>
            </w:r>
          </w:p>
        </w:tc>
        <w:tc>
          <w:tcPr>
            <w:tcW w:w="4819" w:type="dxa"/>
          </w:tcPr>
          <w:p>
            <w:pPr>
              <w:jc w:val="center"/>
              <w:rPr>
                <w:rFonts w:ascii="微软雅黑" w:hAnsi="微软雅黑" w:eastAsia="微软雅黑"/>
                <w:sz w:val="24"/>
                <w:szCs w:val="24"/>
              </w:rPr>
            </w:pPr>
            <w:r>
              <w:rPr>
                <w:rFonts w:ascii="微软雅黑" w:hAnsi="微软雅黑" w:eastAsia="微软雅黑"/>
                <w:sz w:val="24"/>
                <w:szCs w:val="24"/>
              </w:rPr>
              <w:drawing>
                <wp:inline distT="0" distB="0" distL="0" distR="0">
                  <wp:extent cx="2922905" cy="2192020"/>
                  <wp:effectExtent l="0" t="0" r="23495" b="177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22905" cy="2192020"/>
                          </a:xfrm>
                          <a:prstGeom prst="rect">
                            <a:avLst/>
                          </a:prstGeom>
                        </pic:spPr>
                      </pic:pic>
                    </a:graphicData>
                  </a:graphic>
                </wp:inline>
              </w:drawing>
            </w:r>
          </w:p>
        </w:tc>
      </w:tr>
      <w:tr>
        <w:trPr>
          <w:trHeight w:val="792" w:hRule="atLeast"/>
        </w:trPr>
        <w:tc>
          <w:tcPr>
            <w:tcW w:w="4820" w:type="dxa"/>
          </w:tcPr>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陕西省公共资源交易中心业务二处</w:t>
            </w:r>
          </w:p>
          <w:p>
            <w:pPr>
              <w:tabs>
                <w:tab w:val="left" w:pos="2880"/>
              </w:tabs>
              <w:adjustRightInd w:val="0"/>
              <w:snapToGrid w:val="0"/>
              <w:spacing w:line="360" w:lineRule="exact"/>
              <w:jc w:val="center"/>
              <w:rPr>
                <w:rFonts w:ascii="微软雅黑" w:hAnsi="微软雅黑" w:eastAsia="微软雅黑"/>
                <w:szCs w:val="21"/>
              </w:rPr>
            </w:pPr>
            <w:r>
              <w:rPr>
                <w:rFonts w:hint="eastAsia" w:ascii="微软雅黑" w:hAnsi="微软雅黑" w:eastAsia="微软雅黑"/>
                <w:szCs w:val="21"/>
              </w:rPr>
              <w:t>《</w:t>
            </w:r>
            <w:r>
              <w:rPr>
                <w:rFonts w:hint="eastAsia"/>
              </w:rPr>
              <w:t>政府采购操作实务与新政解读</w:t>
            </w:r>
            <w:r>
              <w:rPr>
                <w:rFonts w:hint="eastAsia" w:ascii="微软雅黑" w:hAnsi="微软雅黑" w:eastAsia="微软雅黑"/>
                <w:szCs w:val="21"/>
              </w:rPr>
              <w:t>》</w:t>
            </w:r>
          </w:p>
        </w:tc>
        <w:tc>
          <w:tcPr>
            <w:tcW w:w="4819" w:type="dxa"/>
          </w:tcPr>
          <w:p>
            <w:pPr>
              <w:ind w:firstLine="420"/>
              <w:jc w:val="center"/>
              <w:rPr>
                <w:rFonts w:ascii="微软雅黑" w:hAnsi="微软雅黑" w:eastAsia="微软雅黑"/>
                <w:szCs w:val="21"/>
              </w:rPr>
            </w:pPr>
            <w:r>
              <w:rPr>
                <w:rFonts w:hint="eastAsia" w:ascii="微软雅黑" w:hAnsi="微软雅黑" w:eastAsia="微软雅黑"/>
                <w:szCs w:val="21"/>
              </w:rPr>
              <w:t>甘肃省产权交易所</w:t>
            </w:r>
          </w:p>
          <w:p>
            <w:pPr>
              <w:ind w:firstLine="420"/>
              <w:jc w:val="center"/>
              <w:rPr>
                <w:rFonts w:ascii="微软雅黑" w:hAnsi="微软雅黑" w:eastAsia="微软雅黑"/>
                <w:szCs w:val="21"/>
              </w:rPr>
            </w:pPr>
            <w:r>
              <w:rPr>
                <w:rFonts w:hint="eastAsia"/>
              </w:rPr>
              <w:t>《国有企业采购代理与评标实务》</w:t>
            </w:r>
          </w:p>
        </w:tc>
      </w:tr>
    </w:tbl>
    <w:p>
      <w:pPr>
        <w:spacing w:line="400" w:lineRule="exact"/>
        <w:jc w:val="left"/>
        <w:rPr>
          <w:rFonts w:ascii="宋体" w:hAnsi="宋体" w:eastAsia="宋体" w:cs="宋体"/>
          <w:sz w:val="24"/>
          <w:szCs w:val="24"/>
        </w:rPr>
      </w:pPr>
    </w:p>
    <w:p>
      <w:pPr>
        <w:spacing w:line="400" w:lineRule="exact"/>
        <w:jc w:val="left"/>
        <w:rPr>
          <w:rFonts w:hint="eastAsia" w:ascii="宋体" w:hAnsi="宋体" w:eastAsia="宋体" w:cs="宋体"/>
          <w:sz w:val="24"/>
          <w:szCs w:val="24"/>
        </w:rPr>
      </w:pPr>
    </w:p>
    <w:p>
      <w:pPr>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微软雅黑">
    <w:altName w:val="汉仪旗黑"/>
    <w:panose1 w:val="020B0503020204020204"/>
    <w:charset w:val="00"/>
    <w:family w:val="swiss"/>
    <w:pitch w:val="default"/>
    <w:sig w:usb0="00000000" w:usb1="00000000" w:usb2="00000016" w:usb3="00000000" w:csb0="0004001F" w:csb1="00000000"/>
  </w:font>
  <w:font w:name="新宋体">
    <w:altName w:val="方正书宋_GBK"/>
    <w:panose1 w:val="02010609030101010101"/>
    <w:charset w:val="00"/>
    <w:family w:val="modern"/>
    <w:pitch w:val="default"/>
    <w:sig w:usb0="00000000" w:usb1="00000000" w:usb2="00000006" w:usb3="00000000" w:csb0="00040001"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Calibri Light">
    <w:altName w:val="Helvetica Neue"/>
    <w:panose1 w:val="020F0302020204030204"/>
    <w:charset w:val="00"/>
    <w:family w:val="swiss"/>
    <w:pitch w:val="default"/>
    <w:sig w:usb0="00000000" w:usb1="00000000" w:usb2="00000000" w:usb3="00000000" w:csb0="0000019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6FCA0"/>
    <w:multiLevelType w:val="singleLevel"/>
    <w:tmpl w:val="5FD6FCA0"/>
    <w:lvl w:ilvl="0" w:tentative="0">
      <w:start w:val="4"/>
      <w:numFmt w:val="chineseCounting"/>
      <w:suff w:val="nothing"/>
      <w:lvlText w:val="%1、"/>
      <w:lvlJc w:val="left"/>
    </w:lvl>
  </w:abstractNum>
  <w:abstractNum w:abstractNumId="1">
    <w:nsid w:val="603F4E47"/>
    <w:multiLevelType w:val="singleLevel"/>
    <w:tmpl w:val="603F4E47"/>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87DCD3"/>
    <w:rsid w:val="1EFA69E8"/>
    <w:rsid w:val="4FFD6CE1"/>
    <w:rsid w:val="61195324"/>
    <w:rsid w:val="6DFFC532"/>
    <w:rsid w:val="7D778D4F"/>
    <w:rsid w:val="B6BB7422"/>
    <w:rsid w:val="BB9FF96E"/>
    <w:rsid w:val="BF87DCD3"/>
    <w:rsid w:val="CEBBF473"/>
    <w:rsid w:val="CF937E19"/>
    <w:rsid w:val="D7FFA589"/>
    <w:rsid w:val="F7EED9BC"/>
    <w:rsid w:val="FCFC0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annotation reference"/>
    <w:basedOn w:val="3"/>
    <w:uiPriority w:val="0"/>
    <w:rPr>
      <w:rFonts w:ascii="Times New Roman" w:hAnsi="Times New Roman" w:eastAsia="宋体" w:cs="Times New Roman"/>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2021-03-03T16:30:00Z</dcterms:created>
  <dc:creator>wangshenghui</dc:creator>
  <cp:lastModifiedBy>wangshenghui</cp:lastModifiedBy>
  <dcterms:modified xsi:type="dcterms:W3CDTF">2021-03-03T16:41:24Z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