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9AAB4" w14:textId="19267339" w:rsidR="004441D2" w:rsidRDefault="000E1328">
      <w:pPr>
        <w:overflowPunct w:val="0"/>
        <w:jc w:val="center"/>
        <w:rPr>
          <w:rFonts w:ascii="黑体" w:eastAsia="黑体" w:hAnsi="黑体" w:cs="宋体"/>
          <w:sz w:val="44"/>
          <w:szCs w:val="44"/>
        </w:rPr>
      </w:pPr>
      <w:bookmarkStart w:id="0" w:name="_Hlk496563124"/>
      <w:r>
        <w:rPr>
          <w:rFonts w:ascii="黑体" w:eastAsia="黑体" w:hAnsi="黑体" w:cs="宋体" w:hint="eastAsia"/>
          <w:sz w:val="44"/>
          <w:szCs w:val="44"/>
        </w:rPr>
        <w:t>《银行不良</w:t>
      </w:r>
      <w:r w:rsidR="00F33181">
        <w:rPr>
          <w:rFonts w:ascii="黑体" w:eastAsia="黑体" w:hAnsi="黑体" w:cs="宋体" w:hint="eastAsia"/>
          <w:sz w:val="44"/>
          <w:szCs w:val="44"/>
        </w:rPr>
        <w:t>资产</w:t>
      </w:r>
      <w:r>
        <w:rPr>
          <w:rFonts w:ascii="黑体" w:eastAsia="黑体" w:hAnsi="黑体" w:cs="宋体" w:hint="eastAsia"/>
          <w:sz w:val="44"/>
          <w:szCs w:val="44"/>
        </w:rPr>
        <w:t>清收</w:t>
      </w:r>
      <w:r w:rsidR="000429E3">
        <w:rPr>
          <w:rFonts w:ascii="黑体" w:eastAsia="黑体" w:hAnsi="黑体" w:cs="宋体" w:hint="eastAsia"/>
          <w:sz w:val="44"/>
          <w:szCs w:val="44"/>
        </w:rPr>
        <w:t>法律与经营管理知识解读</w:t>
      </w:r>
      <w:r>
        <w:rPr>
          <w:rFonts w:ascii="黑体" w:eastAsia="黑体" w:hAnsi="黑体" w:cs="宋体" w:hint="eastAsia"/>
          <w:sz w:val="44"/>
          <w:szCs w:val="44"/>
        </w:rPr>
        <w:t>》</w:t>
      </w:r>
    </w:p>
    <w:p w14:paraId="7496996C" w14:textId="787E96DB" w:rsidR="004441D2" w:rsidRDefault="000E1328">
      <w:pPr>
        <w:overflowPunct w:val="0"/>
        <w:jc w:val="left"/>
        <w:rPr>
          <w:rFonts w:ascii="黑体" w:eastAsia="黑体" w:hAnsi="黑体" w:cs="楷体"/>
          <w:sz w:val="44"/>
          <w:szCs w:val="44"/>
        </w:rPr>
      </w:pPr>
      <w:r>
        <w:rPr>
          <w:rFonts w:asciiTheme="minorEastAsia" w:eastAsiaTheme="minorEastAsia" w:hAnsiTheme="minorEastAsia" w:cs="楷体" w:hint="eastAsia"/>
          <w:sz w:val="32"/>
          <w:szCs w:val="32"/>
        </w:rPr>
        <w:t xml:space="preserve">                   </w:t>
      </w:r>
      <w:r w:rsidR="006657F5">
        <w:rPr>
          <w:rFonts w:asciiTheme="minorEastAsia" w:eastAsiaTheme="minorEastAsia" w:hAnsiTheme="minorEastAsia" w:cs="楷体"/>
          <w:sz w:val="32"/>
          <w:szCs w:val="32"/>
        </w:rPr>
        <w:t xml:space="preserve"> </w:t>
      </w:r>
      <w:r w:rsidR="00D903C7">
        <w:rPr>
          <w:rFonts w:asciiTheme="minorEastAsia" w:eastAsiaTheme="minorEastAsia" w:hAnsiTheme="minorEastAsia" w:cs="楷体"/>
          <w:sz w:val="32"/>
          <w:szCs w:val="32"/>
        </w:rPr>
        <w:t xml:space="preserve">  </w:t>
      </w:r>
      <w:r>
        <w:rPr>
          <w:rFonts w:ascii="黑体" w:eastAsia="黑体" w:hAnsi="黑体" w:cs="楷体" w:hint="eastAsia"/>
          <w:sz w:val="44"/>
          <w:szCs w:val="44"/>
        </w:rPr>
        <w:t>培 训 课 纲</w:t>
      </w:r>
    </w:p>
    <w:p w14:paraId="5088C2DD" w14:textId="3E64A6B6" w:rsidR="004441D2" w:rsidRDefault="000E1328">
      <w:pPr>
        <w:overflowPunct w:val="0"/>
        <w:jc w:val="left"/>
        <w:rPr>
          <w:rFonts w:asciiTheme="minorEastAsia" w:eastAsiaTheme="minorEastAsia" w:hAnsiTheme="minorEastAsia" w:cs="楷体"/>
          <w:sz w:val="32"/>
          <w:szCs w:val="32"/>
        </w:rPr>
      </w:pPr>
      <w:r>
        <w:rPr>
          <w:rFonts w:asciiTheme="minorEastAsia" w:eastAsiaTheme="minorEastAsia" w:hAnsiTheme="minorEastAsia" w:cs="楷体" w:hint="eastAsia"/>
          <w:sz w:val="32"/>
          <w:szCs w:val="32"/>
        </w:rPr>
        <w:t xml:space="preserve">              </w:t>
      </w:r>
      <w:r w:rsidR="003A1A4C">
        <w:rPr>
          <w:rFonts w:asciiTheme="minorEastAsia" w:eastAsiaTheme="minorEastAsia" w:hAnsiTheme="minorEastAsia" w:cs="楷体"/>
          <w:sz w:val="32"/>
          <w:szCs w:val="32"/>
        </w:rPr>
        <w:t xml:space="preserve">      </w:t>
      </w:r>
      <w:r w:rsidR="00D903C7">
        <w:rPr>
          <w:rFonts w:asciiTheme="minorEastAsia" w:eastAsiaTheme="minorEastAsia" w:hAnsiTheme="minorEastAsia" w:cs="楷体"/>
          <w:sz w:val="32"/>
          <w:szCs w:val="32"/>
        </w:rPr>
        <w:t xml:space="preserve">  </w:t>
      </w:r>
      <w:r w:rsidR="003A1A4C">
        <w:rPr>
          <w:rFonts w:asciiTheme="minorEastAsia" w:eastAsiaTheme="minorEastAsia" w:hAnsiTheme="minorEastAsia" w:cs="楷体" w:hint="eastAsia"/>
          <w:sz w:val="32"/>
          <w:szCs w:val="32"/>
        </w:rPr>
        <w:t>主讲老师</w:t>
      </w:r>
      <w:r>
        <w:rPr>
          <w:rFonts w:asciiTheme="minorEastAsia" w:eastAsiaTheme="minorEastAsia" w:hAnsiTheme="minorEastAsia" w:cs="楷体" w:hint="eastAsia"/>
          <w:sz w:val="32"/>
          <w:szCs w:val="32"/>
        </w:rPr>
        <w:t xml:space="preserve"> 张绪才</w:t>
      </w:r>
    </w:p>
    <w:bookmarkEnd w:id="0"/>
    <w:p w14:paraId="29A8713A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>
        <w:rPr>
          <w:rFonts w:asciiTheme="minorEastAsia" w:eastAsiaTheme="minorEastAsia" w:hAnsiTheme="minorEastAsia" w:cs="楷体" w:hint="eastAsia"/>
          <w:sz w:val="32"/>
          <w:szCs w:val="32"/>
        </w:rPr>
        <w:t xml:space="preserve">   </w:t>
      </w:r>
      <w:r w:rsidRPr="0014652F">
        <w:rPr>
          <w:rFonts w:asciiTheme="minorEastAsia" w:eastAsiaTheme="minorEastAsia" w:hAnsiTheme="minorEastAsia" w:cs="楷体" w:hint="eastAsia"/>
          <w:sz w:val="28"/>
          <w:szCs w:val="28"/>
        </w:rPr>
        <w:t xml:space="preserve">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一、【课程背景】</w:t>
      </w:r>
    </w:p>
    <w:p w14:paraId="3E0C88D9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当前国内经济增速放缓，整体社会信用环境有进一步恶化的趋势，受信人及担保人道德风险高企，千方百计拖延还款或摆脱担保责任，银行等金融机构不良贷款增加，信贷风险呈不断加大的趋势。</w:t>
      </w:r>
    </w:p>
    <w:p w14:paraId="01EAD151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二、【授课时长】</w:t>
      </w:r>
    </w:p>
    <w:p w14:paraId="286CB3CB" w14:textId="165EBAE4" w:rsidR="001F193C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可根据需求选择内容和设计案例，本课程课时为</w:t>
      </w:r>
      <w:r w:rsidR="000429E3">
        <w:rPr>
          <w:rFonts w:asciiTheme="minorEastAsia" w:eastAsiaTheme="minorEastAsia" w:hAnsiTheme="minorEastAsia" w:cs="楷体" w:hint="eastAsia"/>
          <w:sz w:val="30"/>
          <w:szCs w:val="30"/>
        </w:rPr>
        <w:t>半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天</w:t>
      </w:r>
    </w:p>
    <w:p w14:paraId="6D3A4265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三、【课程收益】</w:t>
      </w:r>
    </w:p>
    <w:p w14:paraId="6F1210C1" w14:textId="17A3FCDB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张绪才老师</w:t>
      </w:r>
      <w:r w:rsidR="003A1A4C" w:rsidRPr="0061443B">
        <w:rPr>
          <w:rFonts w:asciiTheme="minorEastAsia" w:eastAsiaTheme="minorEastAsia" w:hAnsiTheme="minorEastAsia" w:cs="楷体" w:hint="eastAsia"/>
          <w:sz w:val="30"/>
          <w:szCs w:val="30"/>
        </w:rPr>
        <w:t>根据长期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金融</w:t>
      </w:r>
      <w:r w:rsidR="003A1A4C" w:rsidRPr="0061443B">
        <w:rPr>
          <w:rFonts w:asciiTheme="minorEastAsia" w:eastAsiaTheme="minorEastAsia" w:hAnsiTheme="minorEastAsia" w:cs="楷体" w:hint="eastAsia"/>
          <w:sz w:val="30"/>
          <w:szCs w:val="30"/>
        </w:rPr>
        <w:t>和法律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实务</w:t>
      </w:r>
      <w:r w:rsidR="003A1A4C" w:rsidRPr="0061443B">
        <w:rPr>
          <w:rFonts w:asciiTheme="minorEastAsia" w:eastAsiaTheme="minorEastAsia" w:hAnsiTheme="minorEastAsia" w:cs="楷体" w:hint="eastAsia"/>
          <w:sz w:val="30"/>
          <w:szCs w:val="30"/>
        </w:rPr>
        <w:t>经验，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通过实践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操作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及与金融、司法部门有关部门和人员调研交流，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研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发出本课程，对金融机构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不良贷款清收</w:t>
      </w:r>
      <w:r w:rsidR="003A1A4C" w:rsidRPr="0061443B">
        <w:rPr>
          <w:rFonts w:asciiTheme="minorEastAsia" w:eastAsiaTheme="minorEastAsia" w:hAnsiTheme="minorEastAsia" w:cs="楷体" w:hint="eastAsia"/>
          <w:sz w:val="30"/>
          <w:szCs w:val="30"/>
        </w:rPr>
        <w:t>处置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所需的知识和技能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，</w:t>
      </w:r>
      <w:r w:rsidR="00D903C7">
        <w:rPr>
          <w:rFonts w:asciiTheme="minorEastAsia" w:eastAsiaTheme="minorEastAsia" w:hAnsiTheme="minorEastAsia" w:cs="楷体" w:hint="eastAsia"/>
          <w:sz w:val="30"/>
          <w:szCs w:val="30"/>
        </w:rPr>
        <w:t>以法律思维为纲，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从非诉和诉讼两个方面，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以案例的形式展现出来，并举一反三、融汇贯通，让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清收人员掌握法律实务知识和技能，增强战斗力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，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提高清收实效。</w:t>
      </w:r>
    </w:p>
    <w:p w14:paraId="2319A3E4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四、【授课对象】</w:t>
      </w:r>
    </w:p>
    <w:p w14:paraId="29B12B56" w14:textId="4116891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商业银行等金融机构</w:t>
      </w:r>
      <w:r w:rsidR="009944E3">
        <w:rPr>
          <w:rFonts w:asciiTheme="minorEastAsia" w:eastAsiaTheme="minorEastAsia" w:hAnsiTheme="minorEastAsia" w:cs="楷体" w:hint="eastAsia"/>
          <w:sz w:val="30"/>
          <w:szCs w:val="30"/>
        </w:rPr>
        <w:t>高中级管理人员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、信贷客户经理、</w:t>
      </w:r>
      <w:r w:rsidR="009944E3">
        <w:rPr>
          <w:rFonts w:asciiTheme="minorEastAsia" w:eastAsiaTheme="minorEastAsia" w:hAnsiTheme="minorEastAsia" w:cs="楷体" w:hint="eastAsia"/>
          <w:sz w:val="30"/>
          <w:szCs w:val="30"/>
        </w:rPr>
        <w:t>风险部门、</w:t>
      </w:r>
      <w:r w:rsidR="006657F5" w:rsidRPr="0061443B">
        <w:rPr>
          <w:rFonts w:asciiTheme="minorEastAsia" w:eastAsiaTheme="minorEastAsia" w:hAnsiTheme="minorEastAsia" w:cs="楷体" w:hint="eastAsia"/>
          <w:sz w:val="30"/>
          <w:szCs w:val="30"/>
        </w:rPr>
        <w:t>资产保全部门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人员。</w:t>
      </w:r>
    </w:p>
    <w:p w14:paraId="0CD83CFD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五、【课程特色】</w:t>
      </w:r>
    </w:p>
    <w:p w14:paraId="5EA878F8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1、独特的专业优势：法律功底深厚、办案实践经验丰富，法律培训针对性、实操性强。</w:t>
      </w:r>
    </w:p>
    <w:p w14:paraId="0035B1BE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2、独特的讲课技能和风格：最大特点是不讲理论讲案例，不讲术语讲白话，理论案例化、案例故事化、事故情节化、情节实战化</w:t>
      </w:r>
      <w:r w:rsidR="003A1A4C" w:rsidRPr="0061443B">
        <w:rPr>
          <w:rFonts w:asciiTheme="minorEastAsia" w:eastAsiaTheme="minorEastAsia" w:hAnsiTheme="minorEastAsia" w:cs="楷体" w:hint="eastAsia"/>
          <w:sz w:val="30"/>
          <w:szCs w:val="30"/>
        </w:rPr>
        <w:t>，注重细节实操、绝招制胜</w:t>
      </w: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；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26F06BDD" w14:textId="77777777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六、【课程大纲】</w:t>
      </w:r>
    </w:p>
    <w:p w14:paraId="7066CCB5" w14:textId="75C90699" w:rsidR="004441D2" w:rsidRPr="0061443B" w:rsidRDefault="000E1328" w:rsidP="0061443B">
      <w:pPr>
        <w:overflowPunct w:val="0"/>
        <w:spacing w:line="440" w:lineRule="exact"/>
        <w:rPr>
          <w:rFonts w:asciiTheme="minorEastAsia" w:eastAsiaTheme="minorEastAsia" w:hAnsiTheme="minorEastAsia" w:cs="楷体"/>
          <w:b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bookmarkStart w:id="1" w:name="_Hlk496563169"/>
      <w:r w:rsidR="00000B06" w:rsidRPr="00BC6F8D">
        <w:rPr>
          <w:rFonts w:ascii="黑体" w:eastAsia="黑体" w:hAnsi="黑体" w:cs="楷体" w:hint="eastAsia"/>
          <w:b/>
          <w:sz w:val="30"/>
          <w:szCs w:val="30"/>
        </w:rPr>
        <w:t xml:space="preserve">第一部分 </w:t>
      </w:r>
      <w:r w:rsidR="001E4408" w:rsidRPr="00BC6F8D">
        <w:rPr>
          <w:rFonts w:ascii="黑体" w:eastAsia="黑体" w:hAnsi="黑体" w:cs="楷体" w:hint="eastAsia"/>
          <w:b/>
          <w:sz w:val="30"/>
          <w:szCs w:val="30"/>
        </w:rPr>
        <w:t>不良清收，难在哪里？</w:t>
      </w:r>
      <w:r w:rsidR="001E4408" w:rsidRPr="0061443B">
        <w:rPr>
          <w:rFonts w:asciiTheme="minorEastAsia" w:eastAsiaTheme="minorEastAsia" w:hAnsiTheme="minorEastAsia" w:cs="楷体" w:hint="eastAsia"/>
          <w:b/>
          <w:sz w:val="30"/>
          <w:szCs w:val="30"/>
        </w:rPr>
        <w:t>——</w:t>
      </w:r>
      <w:r w:rsidR="00AD20D9" w:rsidRPr="00AD20D9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缺少</w:t>
      </w:r>
      <w:r w:rsidR="001E4408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法律思维</w:t>
      </w:r>
      <w:r w:rsidR="00AD20D9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！</w:t>
      </w:r>
      <w:r w:rsidR="003A1A4C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非诉清收运用法律提升贷户不款意愿</w:t>
      </w:r>
      <w:r w:rsidR="00BC6F8D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；</w:t>
      </w:r>
      <w:r w:rsidR="003A1A4C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诉讼清收</w:t>
      </w:r>
      <w:r w:rsidR="002A41ED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确保证据充分、维护时效等，以利</w:t>
      </w:r>
      <w:r w:rsidR="003A1A4C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胜诉</w:t>
      </w:r>
      <w:r w:rsidR="002A41ED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t>和</w:t>
      </w:r>
      <w:r w:rsidR="002A41ED" w:rsidRPr="0061443B">
        <w:rPr>
          <w:rFonts w:asciiTheme="minorEastAsia" w:eastAsiaTheme="minorEastAsia" w:hAnsiTheme="minorEastAsia" w:cs="楷体" w:hint="eastAsia"/>
          <w:b/>
          <w:color w:val="FF0000"/>
          <w:sz w:val="30"/>
          <w:szCs w:val="30"/>
        </w:rPr>
        <w:lastRenderedPageBreak/>
        <w:t>执行。</w:t>
      </w:r>
    </w:p>
    <w:p w14:paraId="32C838A9" w14:textId="11599428" w:rsidR="00003CC3" w:rsidRPr="0061443B" w:rsidRDefault="000E1328" w:rsidP="0061443B">
      <w:pPr>
        <w:spacing w:line="440" w:lineRule="exact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="00003CC3" w:rsidRPr="0061443B">
        <w:rPr>
          <w:rFonts w:asciiTheme="minorEastAsia" w:eastAsiaTheme="minorEastAsia" w:hAnsiTheme="minorEastAsia" w:cs="楷体" w:hint="eastAsia"/>
          <w:sz w:val="30"/>
          <w:szCs w:val="30"/>
        </w:rPr>
        <w:t>讨论思考：贷款到期不还怎么办？——贷款不能按时足额收回</w:t>
      </w:r>
    </w:p>
    <w:p w14:paraId="46327D71" w14:textId="77777777" w:rsidR="00003CC3" w:rsidRPr="0061443B" w:rsidRDefault="00003CC3" w:rsidP="0061443B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1、为什么不还？有哪些风险因素？——还款意愿和还款能力</w:t>
      </w:r>
    </w:p>
    <w:p w14:paraId="1A032DEC" w14:textId="77777777" w:rsidR="00003CC3" w:rsidRPr="0061443B" w:rsidRDefault="00003CC3" w:rsidP="0061443B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2、为什么会发生诉讼？——非诉清收效果如何？</w:t>
      </w:r>
    </w:p>
    <w:p w14:paraId="0705705C" w14:textId="77777777" w:rsidR="00003CC3" w:rsidRPr="0061443B" w:rsidRDefault="00003CC3" w:rsidP="0061443B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3、诉讼能打得赢吗？有哪些风险因素？——合同效力、有无证据和证据效力、诉讼时效和担保期间等。</w:t>
      </w:r>
    </w:p>
    <w:p w14:paraId="76B420AE" w14:textId="50AB9852" w:rsidR="00003CC3" w:rsidRDefault="00003CC3" w:rsidP="0061443B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61443B">
        <w:rPr>
          <w:rFonts w:asciiTheme="minorEastAsia" w:eastAsiaTheme="minorEastAsia" w:hAnsiTheme="minorEastAsia" w:cs="楷体" w:hint="eastAsia"/>
          <w:sz w:val="30"/>
          <w:szCs w:val="30"/>
        </w:rPr>
        <w:t>4、打赢诉讼能拿到钱吗？有哪些风险因素？——有无财产可供执行？能否执行？担保权与其它权利是否冲突？有无行使合同权利？</w:t>
      </w:r>
    </w:p>
    <w:p w14:paraId="39F6CF33" w14:textId="1C0F0833" w:rsidR="00BC6F8D" w:rsidRPr="00BC6F8D" w:rsidRDefault="00BC6F8D" w:rsidP="00BC6F8D">
      <w:pPr>
        <w:spacing w:line="440" w:lineRule="exact"/>
        <w:ind w:firstLineChars="200" w:firstLine="602"/>
        <w:jc w:val="left"/>
        <w:rPr>
          <w:rFonts w:ascii="黑体" w:eastAsia="黑体" w:hAnsi="黑体" w:cs="楷体"/>
          <w:b/>
          <w:bCs/>
          <w:sz w:val="30"/>
          <w:szCs w:val="30"/>
        </w:rPr>
      </w:pPr>
      <w:r w:rsidRPr="00BC6F8D">
        <w:rPr>
          <w:rFonts w:ascii="黑体" w:eastAsia="黑体" w:hAnsi="黑体" w:cs="楷体" w:hint="eastAsia"/>
          <w:b/>
          <w:bCs/>
          <w:sz w:val="30"/>
          <w:szCs w:val="30"/>
        </w:rPr>
        <w:t>第二部分 不良</w:t>
      </w:r>
      <w:r w:rsidR="000429E3">
        <w:rPr>
          <w:rFonts w:ascii="黑体" w:eastAsia="黑体" w:hAnsi="黑体" w:cs="楷体" w:hint="eastAsia"/>
          <w:b/>
          <w:bCs/>
          <w:sz w:val="30"/>
          <w:szCs w:val="30"/>
        </w:rPr>
        <w:t>清收</w:t>
      </w:r>
      <w:r w:rsidRPr="00BC6F8D">
        <w:rPr>
          <w:rFonts w:ascii="黑体" w:eastAsia="黑体" w:hAnsi="黑体" w:cs="楷体" w:hint="eastAsia"/>
          <w:b/>
          <w:bCs/>
          <w:sz w:val="30"/>
          <w:szCs w:val="30"/>
        </w:rPr>
        <w:t>法律</w:t>
      </w:r>
      <w:r w:rsidR="000429E3">
        <w:rPr>
          <w:rFonts w:ascii="黑体" w:eastAsia="黑体" w:hAnsi="黑体" w:cs="楷体" w:hint="eastAsia"/>
          <w:b/>
          <w:bCs/>
          <w:sz w:val="30"/>
          <w:szCs w:val="30"/>
        </w:rPr>
        <w:t>知识</w:t>
      </w:r>
      <w:r w:rsidRPr="00BC6F8D">
        <w:rPr>
          <w:rFonts w:ascii="黑体" w:eastAsia="黑体" w:hAnsi="黑体" w:cs="楷体" w:hint="eastAsia"/>
          <w:b/>
          <w:bCs/>
          <w:sz w:val="30"/>
          <w:szCs w:val="30"/>
        </w:rPr>
        <w:t>点</w:t>
      </w:r>
      <w:r w:rsidR="000429E3">
        <w:rPr>
          <w:rFonts w:ascii="黑体" w:eastAsia="黑体" w:hAnsi="黑体" w:cs="楷体" w:hint="eastAsia"/>
          <w:b/>
          <w:bCs/>
          <w:sz w:val="30"/>
          <w:szCs w:val="30"/>
        </w:rPr>
        <w:t>及风险防范策略</w:t>
      </w:r>
    </w:p>
    <w:p w14:paraId="4C77A4DA" w14:textId="53330B31" w:rsidR="00BC6F8D" w:rsidRPr="00BC6F8D" w:rsidRDefault="00BC6F8D" w:rsidP="00BC6F8D">
      <w:pPr>
        <w:spacing w:line="440" w:lineRule="exact"/>
        <w:ind w:firstLineChars="200" w:firstLine="602"/>
        <w:jc w:val="left"/>
        <w:rPr>
          <w:rFonts w:asciiTheme="minorEastAsia" w:eastAsiaTheme="minorEastAsia" w:hAnsiTheme="minorEastAsia" w:cs="楷体"/>
          <w:b/>
          <w:bCs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b/>
          <w:bCs/>
          <w:sz w:val="30"/>
          <w:szCs w:val="30"/>
        </w:rPr>
        <w:t>一、合同的签订、成立和生效</w:t>
      </w:r>
    </w:p>
    <w:p w14:paraId="3F9D6B86" w14:textId="1E2430E9" w:rsidR="00BC6F8D" w:rsidRPr="00BC6F8D" w:rsidRDefault="00BC6F8D" w:rsidP="000429E3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 w:hint="eastAsia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案例分析张冠李戴太奇葩，贷款难收尝苦果</w:t>
      </w:r>
    </w:p>
    <w:p w14:paraId="1532CA86" w14:textId="1B22A1F2" w:rsidR="00BC6F8D" w:rsidRPr="00BC6F8D" w:rsidRDefault="00BC6F8D" w:rsidP="00BC6F8D">
      <w:pPr>
        <w:spacing w:line="440" w:lineRule="exact"/>
        <w:ind w:firstLineChars="200" w:firstLine="602"/>
        <w:jc w:val="left"/>
        <w:rPr>
          <w:rFonts w:asciiTheme="minorEastAsia" w:eastAsiaTheme="minorEastAsia" w:hAnsiTheme="minorEastAsia" w:cs="楷体"/>
          <w:b/>
          <w:bCs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b/>
          <w:bCs/>
          <w:sz w:val="30"/>
          <w:szCs w:val="30"/>
        </w:rPr>
        <w:t>二、合同的权利义务——合同约定的风险提示</w:t>
      </w:r>
    </w:p>
    <w:p w14:paraId="30AD8FAD" w14:textId="430F3EC9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b/>
          <w:bCs/>
          <w:color w:val="FF0000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1、借新还旧和贷款展期的法律风险</w:t>
      </w:r>
      <w:r>
        <w:rPr>
          <w:rFonts w:asciiTheme="minorEastAsia" w:eastAsiaTheme="minorEastAsia" w:hAnsiTheme="minorEastAsia" w:cs="楷体" w:hint="eastAsia"/>
          <w:sz w:val="30"/>
          <w:szCs w:val="30"/>
        </w:rPr>
        <w:t>——</w:t>
      </w:r>
      <w:r w:rsidRPr="00BC6F8D">
        <w:rPr>
          <w:rFonts w:asciiTheme="minorEastAsia" w:eastAsiaTheme="minorEastAsia" w:hAnsiTheme="minorEastAsia" w:cs="楷体" w:hint="eastAsia"/>
          <w:b/>
          <w:bCs/>
          <w:color w:val="FF0000"/>
          <w:sz w:val="30"/>
          <w:szCs w:val="30"/>
        </w:rPr>
        <w:t>合同约定、担保责任及手续办理的法律风险控制</w:t>
      </w:r>
    </w:p>
    <w:p w14:paraId="0D6D9F17" w14:textId="77777777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案例分析：借新还旧，想说爱你不容易！</w:t>
      </w:r>
    </w:p>
    <w:p w14:paraId="417CF485" w14:textId="7EA65B32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2、</w:t>
      </w:r>
      <w:r>
        <w:rPr>
          <w:rFonts w:asciiTheme="minorEastAsia" w:eastAsiaTheme="minorEastAsia" w:hAnsiTheme="minorEastAsia" w:cs="楷体" w:hint="eastAsia"/>
          <w:sz w:val="30"/>
          <w:szCs w:val="30"/>
        </w:rPr>
        <w:t>不良清收中</w:t>
      </w: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担保权实现顺序的法律风险</w:t>
      </w:r>
    </w:p>
    <w:p w14:paraId="71BD70E0" w14:textId="36977946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案例分析：</w:t>
      </w:r>
      <w:r>
        <w:rPr>
          <w:rFonts w:asciiTheme="minorEastAsia" w:eastAsiaTheme="minorEastAsia" w:hAnsiTheme="minorEastAsia" w:cs="楷体" w:hint="eastAsia"/>
          <w:sz w:val="30"/>
          <w:szCs w:val="30"/>
        </w:rPr>
        <w:t>好吃的饭</w:t>
      </w:r>
      <w:r w:rsidR="009056F8">
        <w:rPr>
          <w:rFonts w:asciiTheme="minorEastAsia" w:eastAsiaTheme="minorEastAsia" w:hAnsiTheme="minorEastAsia" w:cs="楷体" w:hint="eastAsia"/>
          <w:sz w:val="30"/>
          <w:szCs w:val="30"/>
        </w:rPr>
        <w:t>V</w:t>
      </w:r>
      <w:r w:rsidR="009056F8">
        <w:rPr>
          <w:rFonts w:asciiTheme="minorEastAsia" w:eastAsiaTheme="minorEastAsia" w:hAnsiTheme="minorEastAsia" w:cs="楷体"/>
          <w:sz w:val="30"/>
          <w:szCs w:val="30"/>
        </w:rPr>
        <w:t>S</w:t>
      </w:r>
      <w:r w:rsidR="009056F8">
        <w:rPr>
          <w:rFonts w:asciiTheme="minorEastAsia" w:eastAsiaTheme="minorEastAsia" w:hAnsiTheme="minorEastAsia" w:cs="楷体" w:hint="eastAsia"/>
          <w:sz w:val="30"/>
          <w:szCs w:val="30"/>
        </w:rPr>
        <w:t>难吃的饭，想吃哪碗吃哪碗？</w:t>
      </w:r>
    </w:p>
    <w:p w14:paraId="0BA0240F" w14:textId="1077FF9A" w:rsidR="00BC6F8D" w:rsidRPr="009056F8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b/>
          <w:bCs/>
          <w:color w:val="FF0000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3、格式条款风险——</w:t>
      </w:r>
      <w:r w:rsidRPr="009056F8">
        <w:rPr>
          <w:rFonts w:asciiTheme="minorEastAsia" w:eastAsiaTheme="minorEastAsia" w:hAnsiTheme="minorEastAsia" w:cs="楷体" w:hint="eastAsia"/>
          <w:b/>
          <w:bCs/>
          <w:color w:val="FF0000"/>
          <w:sz w:val="30"/>
          <w:szCs w:val="30"/>
        </w:rPr>
        <w:t>不利解释规则和免责无效规则、提示注意义务</w:t>
      </w:r>
    </w:p>
    <w:p w14:paraId="19940F78" w14:textId="6C143ACF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案例分析：格式条款未释明，放弃抵押权，保证担责否？</w:t>
      </w:r>
    </w:p>
    <w:p w14:paraId="60223506" w14:textId="77777777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4、抵押权与其它权利的冲突风险</w:t>
      </w:r>
    </w:p>
    <w:p w14:paraId="1B591D7E" w14:textId="77777777" w:rsidR="00BC6F8D" w:rsidRPr="00BC6F8D" w:rsidRDefault="00BC6F8D" w:rsidP="00BC6F8D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BC6F8D">
        <w:rPr>
          <w:rFonts w:asciiTheme="minorEastAsia" w:eastAsiaTheme="minorEastAsia" w:hAnsiTheme="minorEastAsia" w:cs="楷体" w:hint="eastAsia"/>
          <w:sz w:val="30"/>
          <w:szCs w:val="30"/>
        </w:rPr>
        <w:t>案例分析：抵押VS租赁，谁会赢？</w:t>
      </w:r>
    </w:p>
    <w:p w14:paraId="6CCA58B9" w14:textId="28C3FDFC" w:rsidR="009056F8" w:rsidRPr="009056F8" w:rsidRDefault="009056F8" w:rsidP="00AD20D9">
      <w:pPr>
        <w:spacing w:line="440" w:lineRule="exact"/>
        <w:ind w:firstLineChars="200" w:firstLine="602"/>
        <w:jc w:val="left"/>
        <w:rPr>
          <w:rFonts w:asciiTheme="minorEastAsia" w:eastAsiaTheme="minorEastAsia" w:hAnsiTheme="minorEastAsia" w:cs="楷体"/>
          <w:b/>
          <w:sz w:val="30"/>
          <w:szCs w:val="30"/>
        </w:rPr>
      </w:pPr>
      <w:r>
        <w:rPr>
          <w:rFonts w:asciiTheme="minorEastAsia" w:eastAsiaTheme="minorEastAsia" w:hAnsiTheme="minorEastAsia" w:cs="楷体" w:hint="eastAsia"/>
          <w:b/>
          <w:sz w:val="30"/>
          <w:szCs w:val="30"/>
        </w:rPr>
        <w:t>三、</w:t>
      </w:r>
      <w:r w:rsidRPr="009056F8">
        <w:rPr>
          <w:rFonts w:asciiTheme="minorEastAsia" w:eastAsiaTheme="minorEastAsia" w:hAnsiTheme="minorEastAsia" w:cs="楷体" w:hint="eastAsia"/>
          <w:b/>
          <w:sz w:val="30"/>
          <w:szCs w:val="30"/>
        </w:rPr>
        <w:t>合同的履行——证据！证据！证据！</w:t>
      </w:r>
    </w:p>
    <w:p w14:paraId="283DAD9A" w14:textId="77777777" w:rsidR="009056F8" w:rsidRPr="009056F8" w:rsidRDefault="009056F8" w:rsidP="00AD20D9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bCs/>
          <w:sz w:val="30"/>
          <w:szCs w:val="30"/>
        </w:rPr>
      </w:pPr>
      <w:r w:rsidRPr="009056F8">
        <w:rPr>
          <w:rFonts w:asciiTheme="minorEastAsia" w:eastAsiaTheme="minorEastAsia" w:hAnsiTheme="minorEastAsia" w:cs="楷体" w:hint="eastAsia"/>
          <w:bCs/>
          <w:sz w:val="30"/>
          <w:szCs w:val="30"/>
        </w:rPr>
        <w:t>案例分析：抵押物被查封，后续贷款能否享有优先受偿权？</w:t>
      </w:r>
    </w:p>
    <w:p w14:paraId="2687968A" w14:textId="579C8578" w:rsidR="000429E3" w:rsidRPr="000429E3" w:rsidRDefault="009056F8" w:rsidP="000429E3">
      <w:pPr>
        <w:spacing w:line="440" w:lineRule="exact"/>
        <w:ind w:firstLineChars="200" w:firstLine="602"/>
        <w:jc w:val="left"/>
        <w:rPr>
          <w:rFonts w:ascii="宋体" w:hAnsi="宋体" w:cs="楷体" w:hint="eastAsia"/>
          <w:bCs/>
          <w:color w:val="FF0000"/>
          <w:sz w:val="30"/>
          <w:szCs w:val="30"/>
        </w:rPr>
      </w:pPr>
      <w:r>
        <w:rPr>
          <w:rFonts w:asciiTheme="minorEastAsia" w:eastAsiaTheme="minorEastAsia" w:hAnsiTheme="minorEastAsia" w:cs="楷体" w:hint="eastAsia"/>
          <w:b/>
          <w:sz w:val="30"/>
          <w:szCs w:val="30"/>
        </w:rPr>
        <w:t>四、</w:t>
      </w:r>
      <w:r w:rsidRPr="009056F8">
        <w:rPr>
          <w:rFonts w:asciiTheme="minorEastAsia" w:eastAsiaTheme="minorEastAsia" w:hAnsiTheme="minorEastAsia" w:cs="楷体" w:hint="eastAsia"/>
          <w:b/>
          <w:sz w:val="30"/>
          <w:szCs w:val="30"/>
        </w:rPr>
        <w:t>合同权利的救济策略</w:t>
      </w:r>
      <w:r w:rsidR="000429E3">
        <w:rPr>
          <w:rFonts w:asciiTheme="minorEastAsia" w:eastAsiaTheme="minorEastAsia" w:hAnsiTheme="minorEastAsia" w:cs="楷体" w:hint="eastAsia"/>
          <w:b/>
          <w:sz w:val="30"/>
          <w:szCs w:val="30"/>
        </w:rPr>
        <w:t>——</w:t>
      </w:r>
      <w:r w:rsidR="000429E3" w:rsidRPr="000429E3">
        <w:rPr>
          <w:rFonts w:ascii="宋体" w:hAnsi="宋体" w:cs="楷体" w:hint="eastAsia"/>
          <w:bCs/>
          <w:color w:val="FF0000"/>
          <w:sz w:val="30"/>
          <w:szCs w:val="30"/>
        </w:rPr>
        <w:t>时效、证据和程序——维护期间时效，莫让权利“睡觉”</w:t>
      </w:r>
    </w:p>
    <w:p w14:paraId="3AA6FD5B" w14:textId="275BB234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>
        <w:rPr>
          <w:rFonts w:ascii="宋体" w:hAnsi="宋体" w:cs="楷体" w:hint="eastAsia"/>
          <w:bCs/>
          <w:sz w:val="30"/>
          <w:szCs w:val="30"/>
        </w:rPr>
        <w:t>1、</w:t>
      </w:r>
      <w:r w:rsidRPr="000429E3">
        <w:rPr>
          <w:rFonts w:ascii="宋体" w:hAnsi="宋体" w:cs="楷体" w:hint="eastAsia"/>
          <w:bCs/>
          <w:sz w:val="30"/>
          <w:szCs w:val="30"/>
        </w:rPr>
        <w:t>诉讼时效——起算时间点及中断</w:t>
      </w:r>
    </w:p>
    <w:p w14:paraId="33526D81" w14:textId="47003793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>
        <w:rPr>
          <w:rFonts w:ascii="宋体" w:hAnsi="宋体" w:cs="楷体" w:hint="eastAsia"/>
          <w:bCs/>
          <w:sz w:val="30"/>
          <w:szCs w:val="30"/>
        </w:rPr>
        <w:t>2、</w:t>
      </w:r>
      <w:r w:rsidRPr="000429E3">
        <w:rPr>
          <w:rFonts w:ascii="宋体" w:hAnsi="宋体" w:cs="楷体" w:hint="eastAsia"/>
          <w:bCs/>
          <w:sz w:val="30"/>
          <w:szCs w:val="30"/>
        </w:rPr>
        <w:t>保证期间——如何认定保证期间是否超过</w:t>
      </w:r>
    </w:p>
    <w:p w14:paraId="7C3FBD22" w14:textId="349453DF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>
        <w:rPr>
          <w:rFonts w:ascii="宋体" w:hAnsi="宋体" w:cs="楷体" w:hint="eastAsia"/>
          <w:bCs/>
          <w:sz w:val="30"/>
          <w:szCs w:val="30"/>
        </w:rPr>
        <w:t>3、</w:t>
      </w:r>
      <w:r w:rsidRPr="000429E3">
        <w:rPr>
          <w:rFonts w:ascii="宋体" w:hAnsi="宋体" w:cs="楷体" w:hint="eastAsia"/>
          <w:bCs/>
          <w:sz w:val="30"/>
          <w:szCs w:val="30"/>
        </w:rPr>
        <w:t>保证诉讼时效——与保证期间有何联系区别</w:t>
      </w:r>
    </w:p>
    <w:p w14:paraId="3447C84C" w14:textId="444BA73F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>
        <w:rPr>
          <w:rFonts w:ascii="宋体" w:hAnsi="宋体" w:cs="楷体" w:hint="eastAsia"/>
          <w:bCs/>
          <w:sz w:val="30"/>
          <w:szCs w:val="30"/>
        </w:rPr>
        <w:t>4、</w:t>
      </w:r>
      <w:r w:rsidRPr="000429E3">
        <w:rPr>
          <w:rFonts w:ascii="宋体" w:hAnsi="宋体" w:cs="楷体" w:hint="eastAsia"/>
          <w:bCs/>
          <w:sz w:val="30"/>
          <w:szCs w:val="30"/>
        </w:rPr>
        <w:t>抵押权行使期间——如何正确行使权利</w:t>
      </w:r>
    </w:p>
    <w:p w14:paraId="40DBEAB2" w14:textId="77777777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 w:rsidRPr="000429E3">
        <w:rPr>
          <w:rFonts w:ascii="宋体" w:hAnsi="宋体" w:cs="楷体" w:hint="eastAsia"/>
          <w:bCs/>
          <w:sz w:val="30"/>
          <w:szCs w:val="30"/>
        </w:rPr>
        <w:t>案例分析：行使抵押权，超期不超期？</w:t>
      </w:r>
    </w:p>
    <w:p w14:paraId="4FC77565" w14:textId="77777777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 w:hint="eastAsia"/>
          <w:bCs/>
          <w:sz w:val="30"/>
          <w:szCs w:val="30"/>
        </w:rPr>
      </w:pPr>
      <w:r w:rsidRPr="000429E3">
        <w:rPr>
          <w:rFonts w:ascii="宋体" w:hAnsi="宋体" w:cs="楷体" w:hint="eastAsia"/>
          <w:bCs/>
          <w:sz w:val="30"/>
          <w:szCs w:val="30"/>
        </w:rPr>
        <w:t>案例分析：银行未能证明在诉讼时效期间内主张权利——败诉！</w:t>
      </w:r>
    </w:p>
    <w:p w14:paraId="22B6EAA8" w14:textId="31EF8F84" w:rsidR="000429E3" w:rsidRPr="000429E3" w:rsidRDefault="000429E3" w:rsidP="000429E3">
      <w:pPr>
        <w:spacing w:line="440" w:lineRule="exact"/>
        <w:ind w:firstLineChars="200" w:firstLine="600"/>
        <w:jc w:val="left"/>
        <w:rPr>
          <w:rFonts w:ascii="宋体" w:hAnsi="宋体" w:cs="楷体"/>
          <w:bCs/>
          <w:sz w:val="30"/>
          <w:szCs w:val="30"/>
        </w:rPr>
      </w:pPr>
      <w:r w:rsidRPr="000429E3">
        <w:rPr>
          <w:rFonts w:ascii="宋体" w:hAnsi="宋体" w:cs="楷体" w:hint="eastAsia"/>
          <w:bCs/>
          <w:sz w:val="30"/>
          <w:szCs w:val="30"/>
        </w:rPr>
        <w:t>案例分析:银行中断诉讼时效的方式不当——败诉！</w:t>
      </w:r>
    </w:p>
    <w:p w14:paraId="0F8A7B5A" w14:textId="53387B83" w:rsidR="00000B06" w:rsidRPr="00895B9F" w:rsidRDefault="000429E3" w:rsidP="00000B06">
      <w:pPr>
        <w:spacing w:line="440" w:lineRule="exact"/>
        <w:ind w:firstLineChars="200" w:firstLine="602"/>
        <w:jc w:val="left"/>
        <w:rPr>
          <w:rFonts w:ascii="宋体" w:hAnsi="宋体" w:cs="楷体"/>
          <w:b/>
          <w:sz w:val="30"/>
          <w:szCs w:val="30"/>
        </w:rPr>
      </w:pPr>
      <w:r w:rsidRPr="00895B9F">
        <w:rPr>
          <w:rFonts w:ascii="宋体" w:hAnsi="宋体" w:cs="楷体" w:hint="eastAsia"/>
          <w:b/>
          <w:sz w:val="30"/>
          <w:szCs w:val="30"/>
        </w:rPr>
        <w:t>五、</w:t>
      </w:r>
      <w:r w:rsidR="00000B06" w:rsidRPr="00895B9F">
        <w:rPr>
          <w:rFonts w:ascii="宋体" w:hAnsi="宋体" w:cs="楷体" w:hint="eastAsia"/>
          <w:b/>
          <w:sz w:val="30"/>
          <w:szCs w:val="30"/>
        </w:rPr>
        <w:t>制胜的武器——行使合同权利清</w:t>
      </w:r>
      <w:bookmarkStart w:id="2" w:name="_GoBack"/>
      <w:bookmarkEnd w:id="2"/>
      <w:r w:rsidR="00000B06" w:rsidRPr="00895B9F">
        <w:rPr>
          <w:rFonts w:ascii="宋体" w:hAnsi="宋体" w:cs="楷体" w:hint="eastAsia"/>
          <w:b/>
          <w:sz w:val="30"/>
          <w:szCs w:val="30"/>
        </w:rPr>
        <w:t>收</w:t>
      </w:r>
    </w:p>
    <w:p w14:paraId="4EAAD4D5" w14:textId="7D04A468" w:rsidR="00000B06" w:rsidRPr="00000B06" w:rsidRDefault="00000B06" w:rsidP="00000B06">
      <w:pPr>
        <w:spacing w:line="440" w:lineRule="exact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lastRenderedPageBreak/>
        <w:t xml:space="preserve">  </w:t>
      </w:r>
      <w:r>
        <w:rPr>
          <w:rFonts w:asciiTheme="minorEastAsia" w:eastAsiaTheme="minorEastAsia" w:hAnsiTheme="minorEastAsia" w:cs="楷体"/>
          <w:sz w:val="30"/>
          <w:szCs w:val="30"/>
        </w:rPr>
        <w:t xml:space="preserve">  </w:t>
      </w:r>
      <w:r w:rsidR="003A438F">
        <w:rPr>
          <w:rFonts w:asciiTheme="minorEastAsia" w:eastAsiaTheme="minorEastAsia" w:hAnsiTheme="minorEastAsia" w:cs="楷体" w:hint="eastAsia"/>
          <w:sz w:val="30"/>
          <w:szCs w:val="30"/>
        </w:rPr>
        <w:t>一、</w:t>
      </w: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>行使抵销权</w:t>
      </w:r>
    </w:p>
    <w:p w14:paraId="0AB3BE82" w14:textId="77777777" w:rsidR="00000B06" w:rsidRPr="00000B06" w:rsidRDefault="00000B06" w:rsidP="00000B06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>案例分析：近水楼台先得月</w:t>
      </w:r>
      <w:r w:rsidR="00852EA4">
        <w:rPr>
          <w:rFonts w:asciiTheme="minorEastAsia" w:eastAsiaTheme="minorEastAsia" w:hAnsiTheme="minorEastAsia" w:cs="楷体" w:hint="eastAsia"/>
          <w:sz w:val="30"/>
          <w:szCs w:val="30"/>
        </w:rPr>
        <w:t>？</w:t>
      </w:r>
    </w:p>
    <w:p w14:paraId="2CA02D83" w14:textId="6BA5F2D1" w:rsidR="00000B06" w:rsidRPr="00000B06" w:rsidRDefault="00000B06" w:rsidP="00000B06">
      <w:pPr>
        <w:spacing w:line="440" w:lineRule="exact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 xml:space="preserve">  </w:t>
      </w:r>
      <w:r>
        <w:rPr>
          <w:rFonts w:asciiTheme="minorEastAsia" w:eastAsiaTheme="minorEastAsia" w:hAnsiTheme="minorEastAsia" w:cs="楷体"/>
          <w:sz w:val="30"/>
          <w:szCs w:val="30"/>
        </w:rPr>
        <w:t xml:space="preserve"> </w:t>
      </w:r>
      <w:r w:rsidR="003A438F">
        <w:rPr>
          <w:rFonts w:asciiTheme="minorEastAsia" w:eastAsiaTheme="minorEastAsia" w:hAnsiTheme="minorEastAsia" w:cs="楷体"/>
          <w:sz w:val="30"/>
          <w:szCs w:val="30"/>
        </w:rPr>
        <w:t xml:space="preserve"> </w:t>
      </w:r>
      <w:r w:rsidR="003A438F">
        <w:rPr>
          <w:rFonts w:asciiTheme="minorEastAsia" w:eastAsiaTheme="minorEastAsia" w:hAnsiTheme="minorEastAsia" w:cs="楷体" w:hint="eastAsia"/>
          <w:sz w:val="30"/>
          <w:szCs w:val="30"/>
        </w:rPr>
        <w:t>二、</w:t>
      </w: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>行使代位权</w:t>
      </w:r>
    </w:p>
    <w:p w14:paraId="17FEBB7B" w14:textId="77777777" w:rsidR="00000B06" w:rsidRPr="00000B06" w:rsidRDefault="00000B06" w:rsidP="00000B06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>案例分析：乾隆讨债</w:t>
      </w:r>
    </w:p>
    <w:p w14:paraId="226B1CB3" w14:textId="2C4AF51B" w:rsidR="00000B06" w:rsidRPr="00000B06" w:rsidRDefault="003A438F" w:rsidP="00000B06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>
        <w:rPr>
          <w:rFonts w:asciiTheme="minorEastAsia" w:eastAsiaTheme="minorEastAsia" w:hAnsiTheme="minorEastAsia" w:cs="楷体" w:hint="eastAsia"/>
          <w:sz w:val="30"/>
          <w:szCs w:val="30"/>
        </w:rPr>
        <w:t>三、</w:t>
      </w:r>
      <w:r w:rsidR="00000B06" w:rsidRPr="00000B06">
        <w:rPr>
          <w:rFonts w:asciiTheme="minorEastAsia" w:eastAsiaTheme="minorEastAsia" w:hAnsiTheme="minorEastAsia" w:cs="楷体" w:hint="eastAsia"/>
          <w:sz w:val="30"/>
          <w:szCs w:val="30"/>
        </w:rPr>
        <w:t>行使撤销权</w:t>
      </w:r>
    </w:p>
    <w:p w14:paraId="0238CFA7" w14:textId="43C43D41" w:rsidR="00000B06" w:rsidRPr="00000B06" w:rsidRDefault="00000B06" w:rsidP="00000B06">
      <w:pPr>
        <w:spacing w:line="440" w:lineRule="exact"/>
        <w:ind w:firstLineChars="200" w:firstLine="600"/>
        <w:jc w:val="left"/>
        <w:rPr>
          <w:rFonts w:asciiTheme="minorEastAsia" w:eastAsiaTheme="minorEastAsia" w:hAnsiTheme="minorEastAsia" w:cs="楷体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>案例分析：</w:t>
      </w:r>
      <w:r w:rsidR="003A438F">
        <w:rPr>
          <w:rFonts w:asciiTheme="minorEastAsia" w:eastAsiaTheme="minorEastAsia" w:hAnsiTheme="minorEastAsia" w:cs="楷体" w:hint="eastAsia"/>
          <w:sz w:val="30"/>
          <w:szCs w:val="30"/>
        </w:rPr>
        <w:t>变卖财产为逃债，撤销转让应及时</w:t>
      </w:r>
    </w:p>
    <w:p w14:paraId="0F2D9AD5" w14:textId="4B68DE66" w:rsidR="000429E3" w:rsidRPr="000429E3" w:rsidRDefault="00000B06" w:rsidP="000429E3">
      <w:pPr>
        <w:spacing w:line="440" w:lineRule="exact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00B06">
        <w:rPr>
          <w:rFonts w:asciiTheme="minorEastAsia" w:eastAsiaTheme="minorEastAsia" w:hAnsiTheme="minorEastAsia" w:cs="楷体" w:hint="eastAsia"/>
          <w:sz w:val="30"/>
          <w:szCs w:val="30"/>
        </w:rPr>
        <w:t xml:space="preserve">    </w:t>
      </w:r>
      <w:r w:rsidR="000429E3">
        <w:rPr>
          <w:rFonts w:ascii="黑体" w:eastAsia="黑体" w:hAnsi="黑体" w:cs="楷体" w:hint="eastAsia"/>
          <w:b/>
          <w:sz w:val="30"/>
          <w:szCs w:val="30"/>
        </w:rPr>
        <w:t>第三部分</w:t>
      </w:r>
      <w:bookmarkEnd w:id="1"/>
      <w:r w:rsidR="000429E3">
        <w:rPr>
          <w:rFonts w:ascii="黑体" w:eastAsia="黑体" w:hAnsi="黑体" w:cs="楷体" w:hint="eastAsia"/>
          <w:b/>
          <w:sz w:val="30"/>
          <w:szCs w:val="30"/>
        </w:rPr>
        <w:t xml:space="preserve"> </w:t>
      </w:r>
      <w:r w:rsidR="000429E3">
        <w:rPr>
          <w:rFonts w:ascii="黑体" w:eastAsia="黑体" w:hAnsi="黑体" w:cs="楷体"/>
          <w:b/>
          <w:sz w:val="30"/>
          <w:szCs w:val="30"/>
        </w:rPr>
        <w:t xml:space="preserve"> </w:t>
      </w:r>
      <w:r w:rsidR="000429E3">
        <w:rPr>
          <w:rFonts w:ascii="黑体" w:eastAsia="黑体" w:hAnsi="黑体" w:cs="楷体" w:hint="eastAsia"/>
          <w:b/>
          <w:sz w:val="30"/>
          <w:szCs w:val="30"/>
        </w:rPr>
        <w:t>资产经营管理方式与风险防范策略</w:t>
      </w:r>
    </w:p>
    <w:p w14:paraId="63998730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1、不良贷款清收（非诉清收、诉讼清收、委外催收、不良盘活）</w:t>
      </w:r>
    </w:p>
    <w:p w14:paraId="13E423EB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2、不良债权打包转让</w:t>
      </w:r>
    </w:p>
    <w:p w14:paraId="32429BEE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3、不良贷款坏账核销</w:t>
      </w:r>
    </w:p>
    <w:p w14:paraId="4064BDB9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4、债转股与投贷联动</w:t>
      </w:r>
    </w:p>
    <w:p w14:paraId="73CF27E3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5、债务重组（银行债权人委员会）</w:t>
      </w:r>
    </w:p>
    <w:p w14:paraId="6D3A2CD1" w14:textId="77777777" w:rsidR="000429E3" w:rsidRPr="000429E3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6、并购与资产重组</w:t>
      </w:r>
    </w:p>
    <w:p w14:paraId="4D877745" w14:textId="77777777" w:rsidR="00895B9F" w:rsidRDefault="000429E3" w:rsidP="000429E3">
      <w:pPr>
        <w:spacing w:line="440" w:lineRule="exact"/>
        <w:ind w:firstLine="640"/>
        <w:jc w:val="left"/>
        <w:rPr>
          <w:rFonts w:asciiTheme="minorEastAsia" w:eastAsiaTheme="minorEastAsia" w:hAnsiTheme="minorEastAsia"/>
          <w:sz w:val="30"/>
          <w:szCs w:val="30"/>
        </w:rPr>
      </w:pPr>
      <w:r w:rsidRPr="000429E3">
        <w:rPr>
          <w:rFonts w:asciiTheme="minorEastAsia" w:eastAsiaTheme="minorEastAsia" w:hAnsiTheme="minorEastAsia" w:hint="eastAsia"/>
          <w:sz w:val="30"/>
          <w:szCs w:val="30"/>
        </w:rPr>
        <w:t>7、以上各处置方式的优劣比较</w:t>
      </w:r>
    </w:p>
    <w:p w14:paraId="68E1364F" w14:textId="3956AF14" w:rsidR="00E14505" w:rsidRDefault="000E1328" w:rsidP="000429E3">
      <w:pPr>
        <w:spacing w:line="440" w:lineRule="exact"/>
        <w:ind w:firstLine="640"/>
        <w:jc w:val="left"/>
        <w:rPr>
          <w:rFonts w:asciiTheme="minorEastAsia" w:eastAsiaTheme="minorEastAsia" w:hAnsiTheme="minorEastAsia" w:hint="eastAsia"/>
          <w:sz w:val="30"/>
          <w:szCs w:val="30"/>
        </w:rPr>
      </w:pPr>
      <w:r w:rsidRPr="0061443B">
        <w:rPr>
          <w:rFonts w:asciiTheme="minorEastAsia" w:eastAsiaTheme="minorEastAsia" w:hAnsiTheme="minorEastAsia" w:hint="eastAsia"/>
          <w:sz w:val="30"/>
          <w:szCs w:val="30"/>
        </w:rPr>
        <w:t>注：以上内容为正课内容，在案例剖析中举一反三、融汇贯通，加入与之关联的法律知识和实践操作内容，内容可根据情况作适当调整。</w:t>
      </w:r>
      <w:bookmarkStart w:id="3" w:name="_Hlk496563324"/>
    </w:p>
    <w:p w14:paraId="22ED6A44" w14:textId="21E8A2AF" w:rsidR="004441D2" w:rsidRPr="0061443B" w:rsidRDefault="000E1328" w:rsidP="0061443B">
      <w:pPr>
        <w:spacing w:line="440" w:lineRule="exact"/>
        <w:ind w:firstLine="640"/>
        <w:jc w:val="left"/>
        <w:rPr>
          <w:rFonts w:asciiTheme="minorEastAsia" w:eastAsiaTheme="minorEastAsia" w:hAnsiTheme="minorEastAsia"/>
          <w:sz w:val="30"/>
          <w:szCs w:val="30"/>
        </w:rPr>
      </w:pPr>
      <w:r w:rsidRPr="0061443B">
        <w:rPr>
          <w:rFonts w:asciiTheme="minorEastAsia" w:eastAsiaTheme="minorEastAsia" w:hAnsiTheme="minorEastAsia" w:hint="eastAsia"/>
          <w:sz w:val="30"/>
          <w:szCs w:val="30"/>
        </w:rPr>
        <w:t>张绪才老师服务过的客户：山东省德州市银行业协会、聊城市银行业协会、日照市银行业协会、甘肃临夏市银行业协会、宁夏石嘴山市银行业协会，安徽蚌埠市银行业协会，河南洛阳市银行业协会</w:t>
      </w:r>
      <w:r w:rsidR="00A74D23" w:rsidRPr="0061443B">
        <w:rPr>
          <w:rFonts w:asciiTheme="minorEastAsia" w:eastAsiaTheme="minorEastAsia" w:hAnsiTheme="minorEastAsia" w:hint="eastAsia"/>
          <w:sz w:val="30"/>
          <w:szCs w:val="30"/>
        </w:rPr>
        <w:t>,鄂尔多斯银行业协会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；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中国农业银行、中国建设银行、 中国工商银行、中国银行、交通银行、邮储银行、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中信银行、</w:t>
      </w:r>
      <w:r w:rsidR="00427F30" w:rsidRPr="0061443B">
        <w:rPr>
          <w:rFonts w:asciiTheme="minorEastAsia" w:eastAsiaTheme="minorEastAsia" w:hAnsiTheme="minorEastAsia" w:hint="eastAsia"/>
          <w:sz w:val="30"/>
          <w:szCs w:val="30"/>
        </w:rPr>
        <w:t>兴业银行、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广发银行、民生银行、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河南、江西、江苏、</w:t>
      </w:r>
      <w:r w:rsidR="00AB3414">
        <w:rPr>
          <w:rFonts w:asciiTheme="minorEastAsia" w:eastAsiaTheme="minorEastAsia" w:hAnsiTheme="minorEastAsia" w:hint="eastAsia"/>
          <w:sz w:val="30"/>
          <w:szCs w:val="30"/>
        </w:rPr>
        <w:t>浙江、湖南、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四川、黑龙江</w:t>
      </w:r>
      <w:r w:rsidR="00AB3414">
        <w:rPr>
          <w:rFonts w:asciiTheme="minorEastAsia" w:eastAsiaTheme="minorEastAsia" w:hAnsiTheme="minorEastAsia" w:hint="eastAsia"/>
          <w:sz w:val="30"/>
          <w:szCs w:val="30"/>
        </w:rPr>
        <w:t>、淮安、江门等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邮储银行、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北京中行、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江西中行、</w:t>
      </w:r>
      <w:r w:rsidR="0060476B">
        <w:rPr>
          <w:rFonts w:asciiTheme="minorEastAsia" w:eastAsiaTheme="minorEastAsia" w:hAnsiTheme="minorEastAsia" w:hint="eastAsia"/>
          <w:sz w:val="30"/>
          <w:szCs w:val="30"/>
        </w:rPr>
        <w:t>泸州中行、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泉州兴业银行、天津、濮阳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、潍坊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农业银行、定西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、泰安、贵州</w:t>
      </w:r>
      <w:r w:rsidR="0060476B">
        <w:rPr>
          <w:rFonts w:asciiTheme="minorEastAsia" w:eastAsiaTheme="minorEastAsia" w:hAnsiTheme="minorEastAsia" w:hint="eastAsia"/>
          <w:sz w:val="30"/>
          <w:szCs w:val="30"/>
        </w:rPr>
        <w:t>、广州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工商银行、</w:t>
      </w:r>
      <w:r w:rsidR="00F45DFD" w:rsidRPr="0061443B">
        <w:rPr>
          <w:rFonts w:asciiTheme="minorEastAsia" w:eastAsiaTheme="minorEastAsia" w:hAnsiTheme="minorEastAsia" w:hint="eastAsia"/>
          <w:sz w:val="30"/>
          <w:szCs w:val="30"/>
        </w:rPr>
        <w:t>广州交通银行、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广东建设银行、</w:t>
      </w:r>
      <w:r w:rsidR="00427F30" w:rsidRPr="0061443B">
        <w:rPr>
          <w:rFonts w:asciiTheme="minorEastAsia" w:eastAsiaTheme="minorEastAsia" w:hAnsiTheme="minorEastAsia" w:hint="eastAsia"/>
          <w:sz w:val="30"/>
          <w:szCs w:val="30"/>
        </w:rPr>
        <w:t>招商银行</w:t>
      </w:r>
      <w:r w:rsidR="00F45DFD" w:rsidRPr="0061443B">
        <w:rPr>
          <w:rFonts w:asciiTheme="minorEastAsia" w:eastAsiaTheme="minorEastAsia" w:hAnsiTheme="minorEastAsia" w:hint="eastAsia"/>
          <w:sz w:val="30"/>
          <w:szCs w:val="30"/>
        </w:rPr>
        <w:t>西安、长春</w:t>
      </w:r>
      <w:r w:rsidR="00427F30" w:rsidRPr="0061443B">
        <w:rPr>
          <w:rFonts w:asciiTheme="minorEastAsia" w:eastAsiaTheme="minorEastAsia" w:hAnsiTheme="minorEastAsia" w:hint="eastAsia"/>
          <w:sz w:val="30"/>
          <w:szCs w:val="30"/>
        </w:rPr>
        <w:t>、杭州、长沙、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成都、</w:t>
      </w:r>
      <w:r w:rsidR="00427F30" w:rsidRPr="0061443B">
        <w:rPr>
          <w:rFonts w:asciiTheme="minorEastAsia" w:eastAsiaTheme="minorEastAsia" w:hAnsiTheme="minorEastAsia" w:hint="eastAsia"/>
          <w:sz w:val="30"/>
          <w:szCs w:val="30"/>
        </w:rPr>
        <w:t>重庆、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福州、</w:t>
      </w:r>
      <w:r w:rsidR="00427F30" w:rsidRPr="0061443B">
        <w:rPr>
          <w:rFonts w:asciiTheme="minorEastAsia" w:eastAsiaTheme="minorEastAsia" w:hAnsiTheme="minorEastAsia" w:hint="eastAsia"/>
          <w:sz w:val="30"/>
          <w:szCs w:val="30"/>
        </w:rPr>
        <w:t>烟台等分</w:t>
      </w:r>
      <w:r w:rsidR="00F45DFD" w:rsidRPr="0061443B">
        <w:rPr>
          <w:rFonts w:asciiTheme="minorEastAsia" w:eastAsiaTheme="minorEastAsia" w:hAnsiTheme="minorEastAsia" w:hint="eastAsia"/>
          <w:sz w:val="30"/>
          <w:szCs w:val="30"/>
        </w:rPr>
        <w:t>行、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石家庄华夏银行、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北京银行、</w:t>
      </w:r>
      <w:r w:rsidR="00F45DFD" w:rsidRPr="0061443B">
        <w:rPr>
          <w:rFonts w:asciiTheme="minorEastAsia" w:eastAsiaTheme="minorEastAsia" w:hAnsiTheme="minorEastAsia" w:hint="eastAsia"/>
          <w:sz w:val="30"/>
          <w:szCs w:val="30"/>
        </w:rPr>
        <w:t>青海银行、吉林银行、</w:t>
      </w:r>
      <w:r w:rsidR="0060476B">
        <w:rPr>
          <w:rFonts w:asciiTheme="minorEastAsia" w:eastAsiaTheme="minorEastAsia" w:hAnsiTheme="minorEastAsia" w:hint="eastAsia"/>
          <w:sz w:val="30"/>
          <w:szCs w:val="30"/>
        </w:rPr>
        <w:t>龙江银行、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长安银行、中旅银行、</w:t>
      </w:r>
      <w:r w:rsidR="000D5753">
        <w:rPr>
          <w:rFonts w:asciiTheme="minorEastAsia" w:eastAsiaTheme="minorEastAsia" w:hAnsiTheme="minorEastAsia" w:hint="eastAsia"/>
          <w:sz w:val="30"/>
          <w:szCs w:val="30"/>
        </w:rPr>
        <w:t>华融湘江银行、西藏银行、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山东、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河北、河南、江苏、浙江、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陕西、青海、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甘肃、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吉林、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黑龙江、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广西、</w:t>
      </w:r>
      <w:r w:rsidR="00344259" w:rsidRPr="0061443B">
        <w:rPr>
          <w:rFonts w:asciiTheme="minorEastAsia" w:eastAsiaTheme="minorEastAsia" w:hAnsiTheme="minorEastAsia" w:hint="eastAsia"/>
          <w:sz w:val="30"/>
          <w:szCs w:val="30"/>
        </w:rPr>
        <w:t>广东、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福建、四川、湖南、安徽、上海、内蒙古、新疆等地的农</w:t>
      </w:r>
      <w:r w:rsidR="00D6652E">
        <w:rPr>
          <w:rFonts w:asciiTheme="minorEastAsia" w:eastAsiaTheme="minorEastAsia" w:hAnsiTheme="minorEastAsia" w:hint="eastAsia"/>
          <w:sz w:val="30"/>
          <w:szCs w:val="30"/>
        </w:rPr>
        <w:t>（城）</w:t>
      </w:r>
      <w:r w:rsidRPr="0061443B">
        <w:rPr>
          <w:rFonts w:asciiTheme="minorEastAsia" w:eastAsiaTheme="minorEastAsia" w:hAnsiTheme="minorEastAsia" w:hint="eastAsia"/>
          <w:sz w:val="30"/>
          <w:szCs w:val="30"/>
        </w:rPr>
        <w:t>商行或农村信用联社等200余家银行金融机构。</w:t>
      </w:r>
      <w:bookmarkEnd w:id="3"/>
    </w:p>
    <w:sectPr w:rsidR="004441D2" w:rsidRPr="0061443B" w:rsidSect="0061443B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05081" w14:textId="77777777" w:rsidR="00F17EC9" w:rsidRDefault="00F17EC9" w:rsidP="00D90929">
      <w:r>
        <w:separator/>
      </w:r>
    </w:p>
  </w:endnote>
  <w:endnote w:type="continuationSeparator" w:id="0">
    <w:p w14:paraId="204D6FFD" w14:textId="77777777" w:rsidR="00F17EC9" w:rsidRDefault="00F17EC9" w:rsidP="00D90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6277DF" w14:textId="77777777" w:rsidR="00F17EC9" w:rsidRDefault="00F17EC9" w:rsidP="00D90929">
      <w:r>
        <w:separator/>
      </w:r>
    </w:p>
  </w:footnote>
  <w:footnote w:type="continuationSeparator" w:id="0">
    <w:p w14:paraId="4EC8F0AE" w14:textId="77777777" w:rsidR="00F17EC9" w:rsidRDefault="00F17EC9" w:rsidP="00D90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752E0A"/>
    <w:multiLevelType w:val="hybridMultilevel"/>
    <w:tmpl w:val="8E54D8FC"/>
    <w:lvl w:ilvl="0" w:tplc="90162554">
      <w:start w:val="1"/>
      <w:numFmt w:val="japaneseCounting"/>
      <w:lvlText w:val="（%1）"/>
      <w:lvlJc w:val="left"/>
      <w:pPr>
        <w:ind w:left="148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1A86D44"/>
    <w:multiLevelType w:val="hybridMultilevel"/>
    <w:tmpl w:val="14BE3BF2"/>
    <w:lvl w:ilvl="0" w:tplc="7408BD7E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6DFA55FE"/>
    <w:multiLevelType w:val="hybridMultilevel"/>
    <w:tmpl w:val="F7FAD918"/>
    <w:lvl w:ilvl="0" w:tplc="BA723C26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3BF2BB1"/>
    <w:rsid w:val="00000B06"/>
    <w:rsid w:val="00003CC3"/>
    <w:rsid w:val="000429E3"/>
    <w:rsid w:val="000D5753"/>
    <w:rsid w:val="000E1328"/>
    <w:rsid w:val="001263E3"/>
    <w:rsid w:val="001303F1"/>
    <w:rsid w:val="0014652F"/>
    <w:rsid w:val="00176276"/>
    <w:rsid w:val="001B78DE"/>
    <w:rsid w:val="001C64C7"/>
    <w:rsid w:val="001D2B81"/>
    <w:rsid w:val="001D7D5F"/>
    <w:rsid w:val="001E4408"/>
    <w:rsid w:val="001F193C"/>
    <w:rsid w:val="002A41ED"/>
    <w:rsid w:val="00344259"/>
    <w:rsid w:val="003A1A4C"/>
    <w:rsid w:val="003A438F"/>
    <w:rsid w:val="003A5E13"/>
    <w:rsid w:val="00401270"/>
    <w:rsid w:val="00427F30"/>
    <w:rsid w:val="00440FAC"/>
    <w:rsid w:val="004441D2"/>
    <w:rsid w:val="004708F4"/>
    <w:rsid w:val="005563A3"/>
    <w:rsid w:val="005649FF"/>
    <w:rsid w:val="00580E0E"/>
    <w:rsid w:val="005B25A2"/>
    <w:rsid w:val="005B682D"/>
    <w:rsid w:val="0060476B"/>
    <w:rsid w:val="00612F92"/>
    <w:rsid w:val="0061443B"/>
    <w:rsid w:val="00656961"/>
    <w:rsid w:val="006657F5"/>
    <w:rsid w:val="006B09F2"/>
    <w:rsid w:val="006B1044"/>
    <w:rsid w:val="00733B6F"/>
    <w:rsid w:val="00770105"/>
    <w:rsid w:val="007A76C2"/>
    <w:rsid w:val="008152B6"/>
    <w:rsid w:val="00852EA4"/>
    <w:rsid w:val="00866E1E"/>
    <w:rsid w:val="00873F37"/>
    <w:rsid w:val="00895B9F"/>
    <w:rsid w:val="009056F8"/>
    <w:rsid w:val="00932339"/>
    <w:rsid w:val="009863DA"/>
    <w:rsid w:val="009944E3"/>
    <w:rsid w:val="00A23421"/>
    <w:rsid w:val="00A30405"/>
    <w:rsid w:val="00A4749F"/>
    <w:rsid w:val="00A74D23"/>
    <w:rsid w:val="00AB3414"/>
    <w:rsid w:val="00AC6B49"/>
    <w:rsid w:val="00AD20D9"/>
    <w:rsid w:val="00B9311A"/>
    <w:rsid w:val="00BA0459"/>
    <w:rsid w:val="00BC6F8D"/>
    <w:rsid w:val="00BD0E5D"/>
    <w:rsid w:val="00C65A23"/>
    <w:rsid w:val="00C72475"/>
    <w:rsid w:val="00CF78F6"/>
    <w:rsid w:val="00D0694D"/>
    <w:rsid w:val="00D25FC7"/>
    <w:rsid w:val="00D40E63"/>
    <w:rsid w:val="00D467CF"/>
    <w:rsid w:val="00D65E54"/>
    <w:rsid w:val="00D6652E"/>
    <w:rsid w:val="00D903C7"/>
    <w:rsid w:val="00D90929"/>
    <w:rsid w:val="00DC7FA7"/>
    <w:rsid w:val="00E14505"/>
    <w:rsid w:val="00E47C82"/>
    <w:rsid w:val="00E61912"/>
    <w:rsid w:val="00F03930"/>
    <w:rsid w:val="00F17EC9"/>
    <w:rsid w:val="00F33181"/>
    <w:rsid w:val="00F42D54"/>
    <w:rsid w:val="00F45DFD"/>
    <w:rsid w:val="00FC7BC7"/>
    <w:rsid w:val="00FE02C1"/>
    <w:rsid w:val="00FE1F2D"/>
    <w:rsid w:val="15483D64"/>
    <w:rsid w:val="53BF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3E2D2C3"/>
  <w14:defaultImageDpi w14:val="300"/>
  <w15:docId w15:val="{BC24C777-2905-4EB3-A327-F52559A12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A23421"/>
    <w:pPr>
      <w:ind w:firstLineChars="200" w:firstLine="420"/>
    </w:pPr>
  </w:style>
  <w:style w:type="paragraph" w:styleId="a4">
    <w:name w:val="header"/>
    <w:basedOn w:val="a"/>
    <w:link w:val="a5"/>
    <w:rsid w:val="00D9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90929"/>
    <w:rPr>
      <w:kern w:val="2"/>
      <w:sz w:val="18"/>
      <w:szCs w:val="18"/>
    </w:rPr>
  </w:style>
  <w:style w:type="paragraph" w:styleId="a6">
    <w:name w:val="footer"/>
    <w:basedOn w:val="a"/>
    <w:link w:val="a7"/>
    <w:rsid w:val="00D90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909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3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45</cp:revision>
  <dcterms:created xsi:type="dcterms:W3CDTF">2017-08-14T16:37:00Z</dcterms:created>
  <dcterms:modified xsi:type="dcterms:W3CDTF">2020-03-23T06:59:00Z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