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E7EC0" w:rsidRDefault="00A37E27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</w:p>
    <w:p w:rsidR="001E7EC0" w:rsidRPr="00A41238" w:rsidRDefault="00A37E27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 w:rsidRPr="00A41238">
        <w:rPr>
          <w:rFonts w:ascii="黑体" w:eastAsia="黑体" w:hAnsi="黑体" w:cs="黑体" w:hint="eastAsia"/>
          <w:sz w:val="36"/>
          <w:szCs w:val="36"/>
        </w:rPr>
        <w:t>《</w:t>
      </w:r>
      <w:r w:rsidR="009473A7">
        <w:rPr>
          <w:rFonts w:ascii="黑体" w:eastAsia="黑体" w:hAnsi="黑体" w:cs="黑体" w:hint="eastAsia"/>
          <w:sz w:val="36"/>
          <w:szCs w:val="36"/>
        </w:rPr>
        <w:t>银行合同法担保法物权法风险防范案例解读</w:t>
      </w:r>
      <w:r w:rsidRPr="00A41238">
        <w:rPr>
          <w:rFonts w:ascii="黑体" w:eastAsia="黑体" w:hAnsi="黑体" w:cs="黑体" w:hint="eastAsia"/>
          <w:sz w:val="36"/>
          <w:szCs w:val="36"/>
        </w:rPr>
        <w:t>》培训课纲</w:t>
      </w:r>
    </w:p>
    <w:p w:rsidR="001E7EC0" w:rsidRPr="00586364" w:rsidRDefault="00A37E27">
      <w:pPr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 xml:space="preserve">               </w:t>
      </w:r>
      <w:r w:rsidRPr="00586364">
        <w:rPr>
          <w:rFonts w:ascii="宋体" w:hAnsi="宋体" w:cs="宋体" w:hint="eastAsia"/>
          <w:sz w:val="32"/>
          <w:szCs w:val="32"/>
        </w:rPr>
        <w:t xml:space="preserve">   </w:t>
      </w:r>
      <w:r w:rsidR="001C7EA7">
        <w:rPr>
          <w:rFonts w:ascii="宋体" w:hAnsi="宋体" w:cs="宋体"/>
          <w:sz w:val="32"/>
          <w:szCs w:val="32"/>
        </w:rPr>
        <w:t xml:space="preserve">  </w:t>
      </w:r>
      <w:r w:rsidR="001C7EA7">
        <w:rPr>
          <w:rFonts w:ascii="宋体" w:hAnsi="宋体" w:cs="宋体" w:hint="eastAsia"/>
          <w:sz w:val="32"/>
          <w:szCs w:val="32"/>
        </w:rPr>
        <w:t>主讲老师：</w:t>
      </w:r>
      <w:r w:rsidRPr="00586364">
        <w:rPr>
          <w:rFonts w:ascii="宋体" w:hAnsi="宋体" w:cs="宋体" w:hint="eastAsia"/>
          <w:sz w:val="32"/>
          <w:szCs w:val="32"/>
        </w:rPr>
        <w:t xml:space="preserve"> 张绪才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32"/>
          <w:szCs w:val="32"/>
        </w:rPr>
        <w:t xml:space="preserve">   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b/>
          <w:bCs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 </w:t>
      </w:r>
      <w:r w:rsidRPr="00586364">
        <w:rPr>
          <w:rFonts w:ascii="宋体" w:hAnsi="宋体" w:cs="宋体" w:hint="eastAsia"/>
          <w:b/>
          <w:bCs/>
          <w:sz w:val="28"/>
          <w:szCs w:val="28"/>
        </w:rPr>
        <w:t>一、【课程背景】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当前国内经济增速放缓，整体社会信用环境有进一步恶化的趋势，受信人及担保人道德风险高企，千方百计拖延还款或摆脱担保责任，导致不良贷款增加，信贷风险呈不断增大的趋势。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</w:t>
      </w:r>
      <w:r w:rsidRPr="00586364">
        <w:rPr>
          <w:rFonts w:ascii="宋体" w:hAnsi="宋体" w:cs="宋体" w:hint="eastAsia"/>
          <w:b/>
          <w:bCs/>
          <w:sz w:val="28"/>
          <w:szCs w:val="28"/>
        </w:rPr>
        <w:t>二、【授课时长】</w:t>
      </w:r>
      <w:r w:rsidR="009473A7">
        <w:rPr>
          <w:rFonts w:ascii="宋体" w:hAnsi="宋体" w:cs="宋体" w:hint="eastAsia"/>
          <w:sz w:val="28"/>
          <w:szCs w:val="28"/>
        </w:rPr>
        <w:t>一</w:t>
      </w:r>
      <w:r w:rsidRPr="00586364">
        <w:rPr>
          <w:rFonts w:ascii="宋体" w:hAnsi="宋体" w:cs="宋体" w:hint="eastAsia"/>
          <w:sz w:val="28"/>
          <w:szCs w:val="28"/>
        </w:rPr>
        <w:t>天。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b/>
          <w:bCs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</w:t>
      </w:r>
      <w:r w:rsidRPr="00586364">
        <w:rPr>
          <w:rFonts w:ascii="宋体" w:hAnsi="宋体" w:cs="宋体" w:hint="eastAsia"/>
          <w:b/>
          <w:bCs/>
          <w:sz w:val="28"/>
          <w:szCs w:val="28"/>
        </w:rPr>
        <w:t>三、【课程收益】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张绪才老师多年来从事金融</w:t>
      </w:r>
      <w:r w:rsidR="009473A7">
        <w:rPr>
          <w:rFonts w:ascii="宋体" w:hAnsi="宋体" w:cs="宋体" w:hint="eastAsia"/>
          <w:sz w:val="28"/>
          <w:szCs w:val="28"/>
        </w:rPr>
        <w:t>法律风险防范实务研究，</w:t>
      </w:r>
      <w:r w:rsidRPr="00586364">
        <w:rPr>
          <w:rFonts w:ascii="宋体" w:hAnsi="宋体" w:cs="宋体" w:hint="eastAsia"/>
          <w:sz w:val="28"/>
          <w:szCs w:val="28"/>
        </w:rPr>
        <w:t>通过办案实践及与金融、司法部门有关部门和人员调研交流，开发出本课程，对信贷业务中主要的法律风险点，以案例的形式展现出来，并举一反三、融汇贯通，让业务人员增强风险意识，掌握法律实务知识和技能，提高业务能力和水平，避免业务风险和从业人员的职业道德风险。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b/>
          <w:bCs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</w:t>
      </w:r>
      <w:r w:rsidRPr="00586364">
        <w:rPr>
          <w:rFonts w:ascii="宋体" w:hAnsi="宋体" w:cs="宋体" w:hint="eastAsia"/>
          <w:b/>
          <w:bCs/>
          <w:sz w:val="28"/>
          <w:szCs w:val="28"/>
        </w:rPr>
        <w:t xml:space="preserve"> 四、【授课对象】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商业银行、小额贷款公司、担保公司等金融机构从业人员。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b/>
          <w:bCs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</w:t>
      </w:r>
      <w:r w:rsidRPr="00586364">
        <w:rPr>
          <w:rFonts w:ascii="宋体" w:hAnsi="宋体" w:cs="宋体" w:hint="eastAsia"/>
          <w:b/>
          <w:bCs/>
          <w:sz w:val="28"/>
          <w:szCs w:val="28"/>
        </w:rPr>
        <w:t>五、【课程特色】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 1、独特的专业优势：法律功底深厚、办案实践经验丰富，法律培训针对性、实操性强。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 2、独特的讲课技能和风格：最大的特点是不讲理论讲案例，不讲术语讲白话，理论案例化、案例故事化、事故情节化、情节实战化；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:rsidR="001E7EC0" w:rsidRPr="00586364" w:rsidRDefault="00A37E27" w:rsidP="00582D09">
      <w:pPr>
        <w:spacing w:line="48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 w:rsidRPr="00586364">
        <w:rPr>
          <w:rFonts w:ascii="宋体" w:hAnsi="宋体" w:cs="宋体" w:hint="eastAsia"/>
          <w:b/>
          <w:bCs/>
          <w:sz w:val="28"/>
          <w:szCs w:val="28"/>
        </w:rPr>
        <w:t>六、【课程大纲】</w:t>
      </w:r>
    </w:p>
    <w:p w:rsidR="00E24A11" w:rsidRPr="00E24A11" w:rsidRDefault="00E24A11" w:rsidP="00495F7D">
      <w:pPr>
        <w:spacing w:line="48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 w:rsidRPr="00E24A11">
        <w:rPr>
          <w:rFonts w:ascii="宋体" w:hAnsi="宋体" w:cs="宋体" w:hint="eastAsia"/>
          <w:b/>
          <w:sz w:val="28"/>
          <w:szCs w:val="28"/>
        </w:rPr>
        <w:t xml:space="preserve">第一部分 </w:t>
      </w:r>
      <w:r w:rsidRPr="00E24A11">
        <w:rPr>
          <w:rFonts w:ascii="宋体" w:hAnsi="宋体" w:cs="宋体"/>
          <w:b/>
          <w:sz w:val="28"/>
          <w:szCs w:val="28"/>
        </w:rPr>
        <w:t xml:space="preserve"> </w:t>
      </w:r>
      <w:r w:rsidR="00A37E27" w:rsidRPr="00E24A11">
        <w:rPr>
          <w:rFonts w:ascii="宋体" w:hAnsi="宋体" w:cs="宋体" w:hint="eastAsia"/>
          <w:b/>
          <w:sz w:val="28"/>
          <w:szCs w:val="28"/>
        </w:rPr>
        <w:t>信贷</w:t>
      </w:r>
      <w:r w:rsidRPr="00E24A11">
        <w:rPr>
          <w:rFonts w:ascii="宋体" w:hAnsi="宋体" w:cs="宋体" w:hint="eastAsia"/>
          <w:b/>
          <w:sz w:val="28"/>
          <w:szCs w:val="28"/>
        </w:rPr>
        <w:t>法律</w:t>
      </w:r>
      <w:r w:rsidR="00A37E27" w:rsidRPr="00E24A11">
        <w:rPr>
          <w:rFonts w:ascii="宋体" w:hAnsi="宋体" w:cs="宋体" w:hint="eastAsia"/>
          <w:b/>
          <w:sz w:val="28"/>
          <w:szCs w:val="28"/>
        </w:rPr>
        <w:t>风险</w:t>
      </w:r>
      <w:r w:rsidRPr="00E24A11">
        <w:rPr>
          <w:rFonts w:ascii="宋体" w:hAnsi="宋体" w:cs="宋体" w:hint="eastAsia"/>
          <w:b/>
          <w:sz w:val="28"/>
          <w:szCs w:val="28"/>
        </w:rPr>
        <w:t>防范之“道”</w:t>
      </w:r>
    </w:p>
    <w:p w:rsidR="00E24A11" w:rsidRPr="00E24A11" w:rsidRDefault="00E24A11" w:rsidP="00E24A11">
      <w:pPr>
        <w:spacing w:line="480" w:lineRule="exact"/>
        <w:ind w:firstLineChars="200" w:firstLine="562"/>
        <w:rPr>
          <w:rFonts w:ascii="宋体" w:hAnsi="宋体" w:cs="宋体"/>
          <w:b/>
          <w:sz w:val="28"/>
          <w:szCs w:val="28"/>
        </w:rPr>
      </w:pPr>
      <w:r w:rsidRPr="00E24A11">
        <w:rPr>
          <w:rFonts w:ascii="宋体" w:hAnsi="宋体" w:cs="宋体" w:hint="eastAsia"/>
          <w:b/>
          <w:sz w:val="28"/>
          <w:szCs w:val="28"/>
        </w:rPr>
        <w:lastRenderedPageBreak/>
        <w:t>一、讨论思考：贷款到期不还怎么办？——贷款不能按时足额收回</w:t>
      </w:r>
    </w:p>
    <w:p w:rsidR="00E24A11" w:rsidRPr="00E24A11" w:rsidRDefault="00E24A11" w:rsidP="00E24A11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1、为什么不还？有哪些风险因素？——还款意愿和还款能力</w:t>
      </w:r>
    </w:p>
    <w:p w:rsidR="00E24A11" w:rsidRPr="00E24A11" w:rsidRDefault="00E24A11" w:rsidP="00E24A11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2、为什么会发生诉讼？——非诉清收效果如何？</w:t>
      </w:r>
    </w:p>
    <w:p w:rsidR="00E24A11" w:rsidRPr="00E24A11" w:rsidRDefault="00E24A11" w:rsidP="00E24A11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3、诉讼能打得赢吗？有哪些风险因素？——合同效力、有无证据和证据效力、诉讼时效和担保期间等。</w:t>
      </w:r>
    </w:p>
    <w:p w:rsidR="00E24A11" w:rsidRDefault="00E24A11" w:rsidP="00E24A11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4、打赢诉讼能拿到钱吗？有哪些风险因素？——有无财产可供执行？能否执行？担保权与其它权利是否冲突？有无行使合同权利？</w:t>
      </w:r>
    </w:p>
    <w:p w:rsidR="001E7EC0" w:rsidRPr="00586364" w:rsidRDefault="00E24A11" w:rsidP="00495F7D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</w:t>
      </w:r>
      <w:r w:rsidR="006F2DA0" w:rsidRPr="00586364">
        <w:rPr>
          <w:rFonts w:ascii="宋体" w:hAnsi="宋体" w:cs="宋体" w:hint="eastAsia"/>
          <w:sz w:val="28"/>
          <w:szCs w:val="28"/>
        </w:rPr>
        <w:t>信贷业务</w:t>
      </w:r>
      <w:r w:rsidR="00A37E27" w:rsidRPr="00586364">
        <w:rPr>
          <w:rFonts w:ascii="宋体" w:hAnsi="宋体" w:cs="宋体" w:hint="eastAsia"/>
          <w:sz w:val="28"/>
          <w:szCs w:val="28"/>
        </w:rPr>
        <w:t>合同兵法策略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1、以终为始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2、以战止战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3、讨论：运用上述兵法策略，列出：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（1）实务工作中遇到的法律问题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（2）能预见到哪些信贷风险问题</w:t>
      </w:r>
    </w:p>
    <w:p w:rsidR="001E7EC0" w:rsidRPr="00E24A11" w:rsidRDefault="00A37E27" w:rsidP="00495F7D">
      <w:pPr>
        <w:spacing w:line="480" w:lineRule="exact"/>
        <w:rPr>
          <w:rFonts w:ascii="宋体" w:hAnsi="宋体" w:cs="宋体"/>
          <w:b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</w:t>
      </w:r>
      <w:r w:rsidR="00E24A11" w:rsidRPr="00E24A11">
        <w:rPr>
          <w:rFonts w:ascii="宋体" w:hAnsi="宋体" w:cs="宋体" w:hint="eastAsia"/>
          <w:b/>
          <w:sz w:val="28"/>
          <w:szCs w:val="28"/>
        </w:rPr>
        <w:t xml:space="preserve">第三部分 </w:t>
      </w:r>
      <w:r w:rsidRPr="00E24A11">
        <w:rPr>
          <w:rFonts w:ascii="宋体" w:hAnsi="宋体" w:cs="宋体" w:hint="eastAsia"/>
          <w:b/>
          <w:sz w:val="28"/>
          <w:szCs w:val="28"/>
        </w:rPr>
        <w:t>信贷</w:t>
      </w:r>
      <w:r w:rsidR="00E24A11" w:rsidRPr="00E24A11">
        <w:rPr>
          <w:rFonts w:ascii="宋体" w:hAnsi="宋体" w:cs="宋体" w:hint="eastAsia"/>
          <w:b/>
          <w:sz w:val="28"/>
          <w:szCs w:val="28"/>
        </w:rPr>
        <w:t>业务及合同各个环节的法律风险点分析与防范</w:t>
      </w:r>
    </w:p>
    <w:p w:rsid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一、信贷业务四大步</w:t>
      </w:r>
    </w:p>
    <w:p w:rsidR="001E7EC0" w:rsidRPr="00586364" w:rsidRDefault="00A37E27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1、借款合同签订—事前防范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2、借款合同担保—担保防范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 3、借款合同履行—事中控制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4、借款合同诉讼—事后救济</w:t>
      </w:r>
    </w:p>
    <w:p w:rsidR="001E7EC0" w:rsidRPr="00586364" w:rsidRDefault="00E24A11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</w:t>
      </w:r>
      <w:r w:rsidR="00A37E27" w:rsidRPr="00586364">
        <w:rPr>
          <w:rFonts w:ascii="宋体" w:hAnsi="宋体" w:cs="宋体" w:hint="eastAsia"/>
          <w:sz w:val="28"/>
          <w:szCs w:val="28"/>
        </w:rPr>
        <w:t>、与贷款流程相对应的合同各环节的法律风险点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bookmarkStart w:id="0" w:name="_Hlk6951213"/>
      <w:bookmarkStart w:id="1" w:name="_GoBack"/>
      <w:r w:rsidRPr="00586364">
        <w:rPr>
          <w:rFonts w:ascii="宋体" w:hAnsi="宋体" w:cs="宋体" w:hint="eastAsia"/>
          <w:sz w:val="28"/>
          <w:szCs w:val="28"/>
        </w:rPr>
        <w:t>（一）合同的签订、成立和生效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bookmarkStart w:id="2" w:name="_Hlk6951161"/>
      <w:bookmarkEnd w:id="0"/>
      <w:bookmarkEnd w:id="1"/>
      <w:r w:rsidRPr="00586364">
        <w:rPr>
          <w:rFonts w:ascii="宋体" w:hAnsi="宋体" w:cs="宋体" w:hint="eastAsia"/>
          <w:sz w:val="28"/>
          <w:szCs w:val="28"/>
        </w:rPr>
        <w:t>1、</w:t>
      </w:r>
      <w:r w:rsidR="006D7FDC">
        <w:rPr>
          <w:rFonts w:ascii="宋体" w:hAnsi="宋体" w:cs="宋体" w:hint="eastAsia"/>
          <w:sz w:val="28"/>
          <w:szCs w:val="28"/>
        </w:rPr>
        <w:t>借款及担保</w:t>
      </w:r>
      <w:r w:rsidR="009473A7">
        <w:rPr>
          <w:rFonts w:ascii="宋体" w:hAnsi="宋体" w:cs="宋体" w:hint="eastAsia"/>
          <w:sz w:val="28"/>
          <w:szCs w:val="28"/>
        </w:rPr>
        <w:t>合同主体风险防范</w:t>
      </w:r>
    </w:p>
    <w:p w:rsidR="009473A7" w:rsidRDefault="009473A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案例分析：公司章程与法律规定不一致，授信合同是否有效？</w:t>
      </w:r>
    </w:p>
    <w:p w:rsidR="009473A7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</w:t>
      </w:r>
      <w:r w:rsidR="009473A7">
        <w:rPr>
          <w:rFonts w:ascii="宋体" w:hAnsi="宋体" w:cs="宋体" w:hint="eastAsia"/>
          <w:sz w:val="28"/>
          <w:szCs w:val="28"/>
        </w:rPr>
        <w:t>公司对外保证，法律效力如何？</w:t>
      </w:r>
    </w:p>
    <w:p w:rsidR="009473A7" w:rsidRDefault="009473A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案例分析：私营机构能否作保证人</w:t>
      </w:r>
      <w:r w:rsidR="006D7FDC">
        <w:rPr>
          <w:rFonts w:ascii="宋体" w:hAnsi="宋体" w:cs="宋体"/>
          <w:sz w:val="28"/>
          <w:szCs w:val="28"/>
        </w:rPr>
        <w:t>?</w:t>
      </w:r>
      <w:r w:rsidR="006D7FDC">
        <w:rPr>
          <w:rFonts w:ascii="宋体" w:hAnsi="宋体" w:cs="宋体" w:hint="eastAsia"/>
          <w:sz w:val="28"/>
          <w:szCs w:val="28"/>
        </w:rPr>
        <w:t>其</w:t>
      </w:r>
      <w:r>
        <w:rPr>
          <w:rFonts w:ascii="宋体" w:hAnsi="宋体" w:cs="宋体" w:hint="eastAsia"/>
          <w:sz w:val="28"/>
          <w:szCs w:val="28"/>
        </w:rPr>
        <w:t>财产能否设定担保？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保证合同无效，责任如何承担？</w:t>
      </w:r>
    </w:p>
    <w:p w:rsidR="006D7FDC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</w:t>
      </w:r>
      <w:r w:rsidR="009473A7" w:rsidRPr="00586364">
        <w:rPr>
          <w:rFonts w:ascii="宋体" w:hAnsi="宋体" w:cs="宋体" w:hint="eastAsia"/>
          <w:sz w:val="28"/>
          <w:szCs w:val="28"/>
        </w:rPr>
        <w:t xml:space="preserve"> 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2、合同要素的构成和填写规范要求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（二）合同的权利义务——合同约定的风险提示</w:t>
      </w:r>
    </w:p>
    <w:p w:rsidR="001E7EC0" w:rsidRPr="00586364" w:rsidRDefault="00A37E27" w:rsidP="00495F7D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1、格式合同的风险点——不利解释规则和免责无效规则、提示注意义务</w:t>
      </w:r>
    </w:p>
    <w:p w:rsidR="00E24A11" w:rsidRDefault="00E24A11" w:rsidP="00495F7D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案例分析：被法院确认无效的合同格式条款！如何防范？</w:t>
      </w:r>
    </w:p>
    <w:p w:rsidR="001E7EC0" w:rsidRPr="00586364" w:rsidRDefault="00A37E27" w:rsidP="00495F7D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2、借新还旧和贷款展期</w:t>
      </w:r>
      <w:r w:rsidR="006D7FDC">
        <w:rPr>
          <w:rFonts w:ascii="宋体" w:hAnsi="宋体" w:cs="宋体" w:hint="eastAsia"/>
          <w:sz w:val="28"/>
          <w:szCs w:val="28"/>
        </w:rPr>
        <w:t>对保证和抵押</w:t>
      </w:r>
      <w:r w:rsidRPr="00586364">
        <w:rPr>
          <w:rFonts w:ascii="宋体" w:hAnsi="宋体" w:cs="宋体" w:hint="eastAsia"/>
          <w:sz w:val="28"/>
          <w:szCs w:val="28"/>
        </w:rPr>
        <w:t>的法律风险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合同约定、担保责任及手续办理的法律风险控制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案例分析：借新还旧</w:t>
      </w:r>
      <w:r w:rsidR="006D7FDC">
        <w:rPr>
          <w:rFonts w:ascii="宋体" w:hAnsi="宋体" w:cs="宋体" w:hint="eastAsia"/>
          <w:sz w:val="28"/>
          <w:szCs w:val="28"/>
        </w:rPr>
        <w:t>及展期</w:t>
      </w:r>
      <w:r w:rsidRPr="00586364">
        <w:rPr>
          <w:rFonts w:ascii="宋体" w:hAnsi="宋体" w:cs="宋体" w:hint="eastAsia"/>
          <w:sz w:val="28"/>
          <w:szCs w:val="28"/>
        </w:rPr>
        <w:t>，想说爱你不容易！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3、合同中担保权实现顺序的法律风险</w:t>
      </w:r>
    </w:p>
    <w:p w:rsidR="001E7EC0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案例分析：煮熟的鸭子飞了</w:t>
      </w:r>
      <w:r w:rsidR="006D7FDC">
        <w:rPr>
          <w:rFonts w:ascii="宋体" w:hAnsi="宋体" w:cs="宋体" w:hint="eastAsia"/>
          <w:sz w:val="28"/>
          <w:szCs w:val="28"/>
        </w:rPr>
        <w:t>——担保权实现顺序风险防范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</w:t>
      </w:r>
      <w:r w:rsidRPr="00E24A11">
        <w:rPr>
          <w:rFonts w:ascii="宋体" w:hAnsi="宋体" w:cs="宋体" w:hint="eastAsia"/>
          <w:sz w:val="28"/>
          <w:szCs w:val="28"/>
        </w:rPr>
        <w:t>抵押权与其它权利的冲突风险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案例分析：抵押VS租赁，谁会赢？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>问题讨论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1、法律对租赁权有何特殊规定？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2、抵押权和租赁权谁优先？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3、本案中为何会出现租赁在先的情况？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4、该银行的抵押物能否顺利处置变现？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5、银行不认可租赁事实，如何推翻？本案能否推翻？</w:t>
      </w:r>
    </w:p>
    <w:p w:rsidR="00E24A11" w:rsidRPr="00E24A11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6、银行应如何防范抵押与租赁权利冲突的风险？</w:t>
      </w:r>
    </w:p>
    <w:p w:rsidR="00E24A11" w:rsidRPr="00586364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E24A11">
        <w:rPr>
          <w:rFonts w:ascii="宋体" w:hAnsi="宋体" w:cs="宋体" w:hint="eastAsia"/>
          <w:sz w:val="28"/>
          <w:szCs w:val="28"/>
        </w:rPr>
        <w:t xml:space="preserve">  7、第三人主张抵押权所有权怎么办？—善意抵押权运用策略</w:t>
      </w:r>
    </w:p>
    <w:p w:rsidR="001E7EC0" w:rsidRPr="00586364" w:rsidRDefault="00E24A11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 w:rsidR="00A37E27" w:rsidRPr="00586364">
        <w:rPr>
          <w:rFonts w:ascii="宋体" w:hAnsi="宋体" w:cs="宋体" w:hint="eastAsia"/>
          <w:sz w:val="28"/>
          <w:szCs w:val="28"/>
        </w:rPr>
        <w:t>、合同中的“交叉违约”条款</w:t>
      </w:r>
    </w:p>
    <w:p w:rsidR="001E7EC0" w:rsidRPr="00586364" w:rsidRDefault="00E24A11" w:rsidP="00E24A11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</w:t>
      </w:r>
      <w:r w:rsidR="00A37E27" w:rsidRPr="00586364">
        <w:rPr>
          <w:rFonts w:ascii="宋体" w:hAnsi="宋体" w:cs="宋体" w:hint="eastAsia"/>
          <w:sz w:val="28"/>
          <w:szCs w:val="28"/>
        </w:rPr>
        <w:t>、合同约定的周全原则和证据规则</w:t>
      </w:r>
    </w:p>
    <w:p w:rsidR="001E7EC0" w:rsidRPr="00586364" w:rsidRDefault="00A37E27" w:rsidP="00495F7D">
      <w:pPr>
        <w:spacing w:line="480" w:lineRule="exact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   （</w:t>
      </w:r>
      <w:r w:rsidR="00E24A11">
        <w:rPr>
          <w:rFonts w:ascii="宋体" w:hAnsi="宋体" w:cs="宋体" w:hint="eastAsia"/>
          <w:sz w:val="28"/>
          <w:szCs w:val="28"/>
        </w:rPr>
        <w:t>三</w:t>
      </w:r>
      <w:r w:rsidRPr="00586364">
        <w:rPr>
          <w:rFonts w:ascii="宋体" w:hAnsi="宋体" w:cs="宋体" w:hint="eastAsia"/>
          <w:sz w:val="28"/>
          <w:szCs w:val="28"/>
        </w:rPr>
        <w:t>）合同的履行——证据！证据！证据！</w:t>
      </w:r>
    </w:p>
    <w:p w:rsidR="001E7EC0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1、检查预警</w:t>
      </w:r>
    </w:p>
    <w:p w:rsidR="006D7FDC" w:rsidRPr="00586364" w:rsidRDefault="006D7FDC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案例分析：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2、催收</w:t>
      </w:r>
      <w:r w:rsidR="00E24A11">
        <w:rPr>
          <w:rFonts w:ascii="宋体" w:hAnsi="宋体" w:cs="宋体" w:hint="eastAsia"/>
          <w:sz w:val="28"/>
          <w:szCs w:val="28"/>
        </w:rPr>
        <w:t>施压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3、诉讼准备：证据、诉讼时效、合同权利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4、</w:t>
      </w:r>
      <w:r w:rsidR="00A10A9D" w:rsidRPr="00586364">
        <w:rPr>
          <w:rFonts w:ascii="宋体" w:hAnsi="宋体" w:cs="宋体" w:hint="eastAsia"/>
          <w:sz w:val="28"/>
          <w:szCs w:val="28"/>
        </w:rPr>
        <w:t>维护期间时效，莫让权利“睡觉”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（1）</w:t>
      </w:r>
      <w:r w:rsidR="00A10A9D" w:rsidRPr="00586364">
        <w:rPr>
          <w:rFonts w:ascii="宋体" w:hAnsi="宋体" w:cs="宋体" w:hint="eastAsia"/>
          <w:sz w:val="28"/>
          <w:szCs w:val="28"/>
        </w:rPr>
        <w:t>诉讼时效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（2）保证期间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（3）保证</w:t>
      </w:r>
      <w:r w:rsidR="00A10A9D" w:rsidRPr="00586364">
        <w:rPr>
          <w:rFonts w:ascii="宋体" w:hAnsi="宋体" w:cs="宋体" w:hint="eastAsia"/>
          <w:sz w:val="28"/>
          <w:szCs w:val="28"/>
        </w:rPr>
        <w:t>诉讼时效</w:t>
      </w:r>
      <w:r w:rsidRPr="00586364">
        <w:rPr>
          <w:rFonts w:ascii="宋体" w:hAnsi="宋体" w:cs="宋体" w:hint="eastAsia"/>
          <w:sz w:val="28"/>
          <w:szCs w:val="28"/>
        </w:rPr>
        <w:t xml:space="preserve"> 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（4）</w:t>
      </w:r>
      <w:r w:rsidR="00A10A9D" w:rsidRPr="00586364">
        <w:rPr>
          <w:rFonts w:ascii="宋体" w:hAnsi="宋体" w:cs="宋体" w:hint="eastAsia"/>
          <w:sz w:val="28"/>
          <w:szCs w:val="28"/>
        </w:rPr>
        <w:t>抵押权行使期间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</w:t>
      </w:r>
      <w:r w:rsidR="00A10A9D" w:rsidRPr="00586364">
        <w:rPr>
          <w:rFonts w:ascii="宋体" w:hAnsi="宋体" w:cs="宋体" w:hint="eastAsia"/>
          <w:sz w:val="28"/>
          <w:szCs w:val="28"/>
        </w:rPr>
        <w:t>1</w:t>
      </w:r>
      <w:r w:rsidRPr="00586364">
        <w:rPr>
          <w:rFonts w:ascii="宋体" w:hAnsi="宋体" w:cs="宋体" w:hint="eastAsia"/>
          <w:sz w:val="28"/>
          <w:szCs w:val="28"/>
        </w:rPr>
        <w:t>：如何维护权利的“保质期”？——诉讼时效和保证期间</w:t>
      </w:r>
    </w:p>
    <w:p w:rsidR="001E7EC0" w:rsidRPr="00586364" w:rsidRDefault="00A37E27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 xml:space="preserve">讨论：保证期间是否超过？保证责任是否免除？超过保证期如何补救？    </w:t>
      </w:r>
    </w:p>
    <w:p w:rsidR="00A10A9D" w:rsidRPr="00586364" w:rsidRDefault="00A10A9D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lastRenderedPageBreak/>
        <w:t>案例分析2</w:t>
      </w:r>
      <w:r w:rsidRPr="00586364">
        <w:rPr>
          <w:rFonts w:ascii="宋体" w:hAnsi="宋体" w:cs="宋体"/>
          <w:sz w:val="28"/>
          <w:szCs w:val="28"/>
        </w:rPr>
        <w:t>:</w:t>
      </w:r>
      <w:r w:rsidRPr="00586364">
        <w:rPr>
          <w:rFonts w:ascii="宋体" w:hAnsi="宋体" w:cs="宋体" w:hint="eastAsia"/>
          <w:sz w:val="28"/>
          <w:szCs w:val="28"/>
        </w:rPr>
        <w:t>银行中断诉讼时效的方式不当，败诉！</w:t>
      </w:r>
    </w:p>
    <w:p w:rsidR="00A10A9D" w:rsidRPr="00586364" w:rsidRDefault="00A10A9D" w:rsidP="00495F7D">
      <w:pPr>
        <w:spacing w:line="480" w:lineRule="exact"/>
        <w:ind w:firstLine="56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案例分析3：银行未能证明在诉讼时效期间内主张权利，败诉！</w:t>
      </w:r>
    </w:p>
    <w:p w:rsidR="001E7EC0" w:rsidRPr="00586364" w:rsidRDefault="00A37E27" w:rsidP="006D7FDC">
      <w:pPr>
        <w:spacing w:line="480" w:lineRule="exact"/>
        <w:ind w:firstLineChars="300" w:firstLine="84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5、如何解决送达难问题？——实务技能操作</w:t>
      </w:r>
    </w:p>
    <w:p w:rsidR="001E7EC0" w:rsidRPr="00586364" w:rsidRDefault="00A37E27" w:rsidP="00495F7D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7、最高额保证的法律风险</w:t>
      </w:r>
    </w:p>
    <w:p w:rsidR="001E7EC0" w:rsidRPr="00586364" w:rsidRDefault="00A37E27" w:rsidP="00495F7D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8、最高额抵押的法律风险</w:t>
      </w:r>
    </w:p>
    <w:p w:rsidR="001E7EC0" w:rsidRPr="00586364" w:rsidRDefault="00A37E27" w:rsidP="00495F7D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案例分析：抵押物被保全查封，银行能否再放款？</w:t>
      </w:r>
    </w:p>
    <w:p w:rsidR="00E24A11" w:rsidRDefault="00E24A11" w:rsidP="00E24A11">
      <w:pPr>
        <w:spacing w:line="48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（四）合同权利的救济策略</w:t>
      </w:r>
    </w:p>
    <w:p w:rsidR="001E7EC0" w:rsidRPr="00586364" w:rsidRDefault="00E24A11" w:rsidP="00E24A11">
      <w:pPr>
        <w:spacing w:line="480" w:lineRule="exact"/>
        <w:ind w:firstLineChars="300" w:firstLine="8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</w:t>
      </w:r>
      <w:r w:rsidR="00A37E27" w:rsidRPr="00586364">
        <w:rPr>
          <w:rFonts w:ascii="宋体" w:hAnsi="宋体" w:cs="宋体" w:hint="eastAsia"/>
          <w:sz w:val="28"/>
          <w:szCs w:val="28"/>
        </w:rPr>
        <w:t>不安抗辩权的行使法律风险</w:t>
      </w:r>
    </w:p>
    <w:p w:rsidR="001E7EC0" w:rsidRPr="00586364" w:rsidRDefault="00A37E27" w:rsidP="00495F7D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586364">
        <w:rPr>
          <w:rFonts w:ascii="宋体" w:hAnsi="宋体" w:cs="宋体" w:hint="eastAsia"/>
          <w:sz w:val="28"/>
          <w:szCs w:val="28"/>
        </w:rPr>
        <w:t>案例分析：银行不按约放款，是否担责？</w:t>
      </w:r>
    </w:p>
    <w:p w:rsidR="006D7FDC" w:rsidRPr="006D7FDC" w:rsidRDefault="006D7FDC" w:rsidP="006D7FDC">
      <w:pPr>
        <w:spacing w:line="480" w:lineRule="exact"/>
        <w:ind w:firstLineChars="300" w:firstLine="840"/>
        <w:rPr>
          <w:rFonts w:ascii="宋体" w:hAnsi="宋体" w:cs="宋体"/>
          <w:sz w:val="28"/>
          <w:szCs w:val="28"/>
        </w:rPr>
      </w:pPr>
      <w:r w:rsidRPr="006D7FDC">
        <w:rPr>
          <w:rFonts w:ascii="宋体" w:hAnsi="宋体" w:cs="宋体" w:hint="eastAsia"/>
          <w:sz w:val="28"/>
          <w:szCs w:val="28"/>
        </w:rPr>
        <w:t>2、行使抵销权</w:t>
      </w:r>
    </w:p>
    <w:p w:rsidR="006D7FDC" w:rsidRPr="006D7FDC" w:rsidRDefault="006D7FDC" w:rsidP="006D7FDC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6D7FDC">
        <w:rPr>
          <w:rFonts w:ascii="宋体" w:hAnsi="宋体" w:cs="宋体" w:hint="eastAsia"/>
          <w:sz w:val="28"/>
          <w:szCs w:val="28"/>
        </w:rPr>
        <w:t>案例分析：近水楼台先得月</w:t>
      </w:r>
    </w:p>
    <w:p w:rsidR="006D7FDC" w:rsidRPr="006D7FDC" w:rsidRDefault="006D7FDC" w:rsidP="006D7FDC">
      <w:pPr>
        <w:spacing w:line="480" w:lineRule="exact"/>
        <w:ind w:firstLine="700"/>
        <w:rPr>
          <w:rFonts w:ascii="宋体" w:hAnsi="宋体" w:cs="宋体"/>
          <w:sz w:val="28"/>
          <w:szCs w:val="28"/>
        </w:rPr>
      </w:pPr>
      <w:r w:rsidRPr="006D7FDC"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3</w:t>
      </w:r>
      <w:r w:rsidRPr="006D7FDC">
        <w:rPr>
          <w:rFonts w:ascii="宋体" w:hAnsi="宋体" w:cs="宋体" w:hint="eastAsia"/>
          <w:sz w:val="28"/>
          <w:szCs w:val="28"/>
        </w:rPr>
        <w:t>、行使代位权</w:t>
      </w:r>
    </w:p>
    <w:p w:rsidR="006D7FDC" w:rsidRPr="006D7FDC" w:rsidRDefault="006D7FDC" w:rsidP="006D7FDC">
      <w:pPr>
        <w:spacing w:line="480" w:lineRule="exact"/>
        <w:ind w:firstLineChars="300" w:firstLine="840"/>
        <w:rPr>
          <w:rFonts w:ascii="宋体" w:hAnsi="宋体" w:cs="宋体"/>
          <w:sz w:val="28"/>
          <w:szCs w:val="28"/>
        </w:rPr>
      </w:pPr>
      <w:r w:rsidRPr="006D7FDC">
        <w:rPr>
          <w:rFonts w:ascii="宋体" w:hAnsi="宋体" w:cs="宋体" w:hint="eastAsia"/>
          <w:sz w:val="28"/>
          <w:szCs w:val="28"/>
        </w:rPr>
        <w:t>案例分析：乾隆讨债</w:t>
      </w:r>
    </w:p>
    <w:p w:rsidR="006D7FDC" w:rsidRPr="006D7FDC" w:rsidRDefault="006D7FDC" w:rsidP="006D7FDC">
      <w:pPr>
        <w:spacing w:line="480" w:lineRule="exact"/>
        <w:ind w:firstLineChars="300" w:firstLine="8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 w:rsidRPr="006D7FDC">
        <w:rPr>
          <w:rFonts w:ascii="宋体" w:hAnsi="宋体" w:cs="宋体" w:hint="eastAsia"/>
          <w:sz w:val="28"/>
          <w:szCs w:val="28"/>
        </w:rPr>
        <w:t>、行使撤销权</w:t>
      </w:r>
    </w:p>
    <w:p w:rsidR="00E24A11" w:rsidRPr="00E24A11" w:rsidRDefault="006D7FDC" w:rsidP="006D7FDC">
      <w:pPr>
        <w:spacing w:line="480" w:lineRule="exact"/>
        <w:ind w:firstLineChars="300" w:firstLine="840"/>
        <w:rPr>
          <w:rFonts w:ascii="宋体" w:hAnsi="宋体"/>
          <w:sz w:val="28"/>
          <w:szCs w:val="28"/>
        </w:rPr>
      </w:pPr>
      <w:r w:rsidRPr="006D7FDC">
        <w:rPr>
          <w:rFonts w:ascii="宋体" w:hAnsi="宋体" w:cs="宋体" w:hint="eastAsia"/>
          <w:sz w:val="28"/>
          <w:szCs w:val="28"/>
        </w:rPr>
        <w:t>案例分析：</w:t>
      </w:r>
      <w:r w:rsidRPr="00E24A11">
        <w:rPr>
          <w:rFonts w:ascii="宋体" w:hAnsi="宋体"/>
          <w:sz w:val="28"/>
          <w:szCs w:val="28"/>
        </w:rPr>
        <w:t xml:space="preserve"> </w:t>
      </w:r>
    </w:p>
    <w:p w:rsidR="00E24A11" w:rsidRPr="00C474DD" w:rsidRDefault="006D7FDC" w:rsidP="006D7FDC">
      <w:pPr>
        <w:spacing w:line="480" w:lineRule="exact"/>
        <w:ind w:firstLineChars="300" w:firstLine="84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（五）</w:t>
      </w:r>
      <w:r w:rsidR="00E24A11" w:rsidRPr="00C474DD">
        <w:rPr>
          <w:rFonts w:ascii="宋体" w:hAnsi="宋体" w:hint="eastAsia"/>
          <w:b/>
          <w:sz w:val="28"/>
          <w:szCs w:val="28"/>
        </w:rPr>
        <w:t>让客户认知违约成本，增强</w:t>
      </w:r>
      <w:r>
        <w:rPr>
          <w:rFonts w:ascii="宋体" w:hAnsi="宋体" w:hint="eastAsia"/>
          <w:b/>
          <w:sz w:val="28"/>
          <w:szCs w:val="28"/>
        </w:rPr>
        <w:t>履约意愿（</w:t>
      </w:r>
      <w:r w:rsidR="00E24A11" w:rsidRPr="00C474DD">
        <w:rPr>
          <w:rFonts w:ascii="宋体" w:hAnsi="宋体" w:hint="eastAsia"/>
          <w:b/>
          <w:sz w:val="28"/>
          <w:szCs w:val="28"/>
        </w:rPr>
        <w:t>还款意愿和还款能力</w:t>
      </w:r>
      <w:r>
        <w:rPr>
          <w:rFonts w:ascii="宋体" w:hAnsi="宋体" w:hint="eastAsia"/>
          <w:b/>
          <w:sz w:val="28"/>
          <w:szCs w:val="28"/>
        </w:rPr>
        <w:t>）</w:t>
      </w:r>
      <w:r w:rsidR="00E24A11" w:rsidRPr="00C474DD">
        <w:rPr>
          <w:rFonts w:ascii="宋体" w:hAnsi="宋体" w:hint="eastAsia"/>
          <w:b/>
          <w:sz w:val="28"/>
          <w:szCs w:val="28"/>
        </w:rPr>
        <w:t xml:space="preserve"> 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</w:t>
      </w:r>
      <w:r w:rsidR="006D7FDC">
        <w:rPr>
          <w:rFonts w:ascii="宋体" w:hAnsi="宋体"/>
          <w:sz w:val="28"/>
          <w:szCs w:val="28"/>
        </w:rPr>
        <w:t xml:space="preserve"> </w:t>
      </w:r>
      <w:r w:rsidR="00C474DD">
        <w:rPr>
          <w:rFonts w:ascii="宋体" w:hAnsi="宋体" w:hint="eastAsia"/>
          <w:sz w:val="28"/>
          <w:szCs w:val="28"/>
        </w:rPr>
        <w:t>一、</w:t>
      </w:r>
      <w:r w:rsidRPr="00E24A11">
        <w:rPr>
          <w:rFonts w:ascii="宋体" w:hAnsi="宋体" w:hint="eastAsia"/>
          <w:sz w:val="28"/>
          <w:szCs w:val="28"/>
        </w:rPr>
        <w:t>讨论：如何向客户讲明还款的好处和违约的不利影响？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</w:t>
      </w:r>
      <w:r w:rsidR="00C474DD">
        <w:rPr>
          <w:rFonts w:ascii="宋体" w:hAnsi="宋体" w:hint="eastAsia"/>
          <w:sz w:val="28"/>
          <w:szCs w:val="28"/>
        </w:rPr>
        <w:t>二、</w:t>
      </w:r>
      <w:r w:rsidRPr="00E24A11">
        <w:rPr>
          <w:rFonts w:ascii="宋体" w:hAnsi="宋体" w:hint="eastAsia"/>
          <w:sz w:val="28"/>
          <w:szCs w:val="28"/>
        </w:rPr>
        <w:t>对失信被执行人的惩戒措施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1、《民事诉讼法》中的强制执行措施：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2、特殊标的强制执行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3、特殊行为禁止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4、全方面限制措施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5、方便快捷强力执行行为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6、刑事责任的追究</w:t>
      </w:r>
    </w:p>
    <w:p w:rsidR="00E24A11" w:rsidRPr="00E24A11" w:rsidRDefault="00E24A11" w:rsidP="00E24A11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 xml:space="preserve">    注：以上内容为正课内容，在案例剖析中举一反三、融汇贯通，加入与之关联的法律知识和实践操作内容，内容可根据情况作适当调整。</w:t>
      </w:r>
    </w:p>
    <w:p w:rsidR="001E7EC0" w:rsidRPr="00586364" w:rsidRDefault="00E24A11" w:rsidP="00C474DD">
      <w:pPr>
        <w:spacing w:line="480" w:lineRule="exact"/>
        <w:ind w:firstLine="640"/>
        <w:rPr>
          <w:rFonts w:ascii="宋体" w:hAnsi="宋体"/>
          <w:sz w:val="28"/>
          <w:szCs w:val="28"/>
        </w:rPr>
      </w:pPr>
      <w:r w:rsidRPr="00E24A11">
        <w:rPr>
          <w:rFonts w:ascii="宋体" w:hAnsi="宋体" w:hint="eastAsia"/>
          <w:sz w:val="28"/>
          <w:szCs w:val="28"/>
        </w:rPr>
        <w:t>张绪才老师服务过的客户：山东省银行业协会、德州市银行业协会、聊城市银行业协会、日照市银行业协会、甘肃临夏市银行业协会、宁夏石嘴山市银行业协会，安徽蚌埠市银行业协会，</w:t>
      </w:r>
      <w:r w:rsidR="00C474DD">
        <w:rPr>
          <w:rFonts w:ascii="宋体" w:hAnsi="宋体" w:hint="eastAsia"/>
          <w:sz w:val="28"/>
          <w:szCs w:val="28"/>
        </w:rPr>
        <w:t>滁州银行业协会，</w:t>
      </w:r>
      <w:r w:rsidRPr="00E24A11">
        <w:rPr>
          <w:rFonts w:ascii="宋体" w:hAnsi="宋体" w:hint="eastAsia"/>
          <w:sz w:val="28"/>
          <w:szCs w:val="28"/>
        </w:rPr>
        <w:t>河南洛阳市银行业协会,鄂尔多斯银行业协会；中信银行、北京中行、泉州兴业银行、天津、</w:t>
      </w:r>
      <w:r w:rsidRPr="00E24A11">
        <w:rPr>
          <w:rFonts w:ascii="宋体" w:hAnsi="宋体" w:hint="eastAsia"/>
          <w:sz w:val="28"/>
          <w:szCs w:val="28"/>
        </w:rPr>
        <w:lastRenderedPageBreak/>
        <w:t>濮阳农业银行、定西工商银行、广州交通银行、西安、长春招商银行、石家庄华夏银行、淮安邮储银行、青海银行、吉林银行、江西、河南、四川、湖南、黑龙江邮储银行系统；山东、陕西、青海、吉林、甘肃、河南、江苏、广西、福建、四川、湖南、安徽、上海、广东、黑龙江、内蒙古、新疆等地的农商行或农村信用联社等200余家银行金融机构。</w:t>
      </w:r>
      <w:bookmarkEnd w:id="2"/>
    </w:p>
    <w:sectPr w:rsidR="001E7EC0" w:rsidRPr="00586364">
      <w:footerReference w:type="even" r:id="rId8"/>
      <w:footerReference w:type="default" r:id="rId9"/>
      <w:pgSz w:w="11906" w:h="16838"/>
      <w:pgMar w:top="1134" w:right="1304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408B" w:rsidRDefault="00F3408B">
      <w:r>
        <w:separator/>
      </w:r>
    </w:p>
  </w:endnote>
  <w:endnote w:type="continuationSeparator" w:id="0">
    <w:p w:rsidR="00F3408B" w:rsidRDefault="00F34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Microsoft YaHei UI"/>
    <w:charset w:val="50"/>
    <w:family w:val="auto"/>
    <w:pitch w:val="default"/>
    <w:sig w:usb0="00000000" w:usb1="00000000" w:usb2="00000010" w:usb3="00000000" w:csb0="003E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7EC0" w:rsidRDefault="00A37E27">
    <w:pPr>
      <w:pStyle w:val="a7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1E7EC0" w:rsidRDefault="001E7EC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7EC0" w:rsidRDefault="00F3408B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110pt;height:18.15pt;z-index:1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1E7EC0" w:rsidRDefault="00A37E27">
                <w:pPr>
                  <w:pStyle w:val="a7"/>
                  <w:rPr>
                    <w:rStyle w:val="a8"/>
                    <w:b/>
                    <w:bCs/>
                    <w:sz w:val="28"/>
                    <w:szCs w:val="28"/>
                  </w:rPr>
                </w:pP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第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end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页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共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begin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instrText xml:space="preserve"> NUMPAGES  \* MERGEFORMAT </w:instrTex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separate"/>
                </w:r>
                <w:r>
                  <w:rPr>
                    <w:rStyle w:val="a8"/>
                    <w:b/>
                    <w:bCs/>
                    <w:sz w:val="28"/>
                    <w:szCs w:val="28"/>
                  </w:rPr>
                  <w:t>6</w:t>
                </w:r>
                <w:r>
                  <w:rPr>
                    <w:rFonts w:hint="eastAsia"/>
                    <w:b/>
                    <w:bCs/>
                    <w:sz w:val="28"/>
                    <w:szCs w:val="28"/>
                  </w:rPr>
                  <w:fldChar w:fldCharType="end"/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 xml:space="preserve"> </w:t>
                </w:r>
                <w:r>
                  <w:rPr>
                    <w:rStyle w:val="a8"/>
                    <w:rFonts w:hint="eastAsia"/>
                    <w:b/>
                    <w:bCs/>
                    <w:sz w:val="28"/>
                    <w:szCs w:val="2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408B" w:rsidRDefault="00F3408B">
      <w:r>
        <w:separator/>
      </w:r>
    </w:p>
  </w:footnote>
  <w:footnote w:type="continuationSeparator" w:id="0">
    <w:p w:rsidR="00F3408B" w:rsidRDefault="00F34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A2ED7"/>
    <w:multiLevelType w:val="multilevel"/>
    <w:tmpl w:val="734A2ED7"/>
    <w:lvl w:ilvl="0">
      <w:start w:val="1"/>
      <w:numFmt w:val="ideographDigital"/>
      <w:pStyle w:val="Char"/>
      <w:suff w:val="nothing"/>
      <w:lvlText w:val="%1、"/>
      <w:lvlJc w:val="left"/>
      <w:pPr>
        <w:ind w:left="1360" w:firstLine="0"/>
      </w:pPr>
      <w:rPr>
        <w:rFonts w:hint="eastAsia"/>
      </w:rPr>
    </w:lvl>
    <w:lvl w:ilvl="1">
      <w:start w:val="1"/>
      <w:numFmt w:val="decimal"/>
      <w:isLgl/>
      <w:suff w:val="nothing"/>
      <w:lvlText w:val="%2."/>
      <w:lvlJc w:val="left"/>
      <w:pPr>
        <w:ind w:left="1360" w:firstLine="403"/>
      </w:pPr>
      <w:rPr>
        <w:rFonts w:hint="eastAsia"/>
      </w:rPr>
    </w:lvl>
    <w:lvl w:ilvl="2">
      <w:start w:val="1"/>
      <w:numFmt w:val="decimal"/>
      <w:isLgl/>
      <w:suff w:val="nothing"/>
      <w:lvlText w:val="%2.%3"/>
      <w:lvlJc w:val="left"/>
      <w:pPr>
        <w:ind w:left="1360" w:firstLine="403"/>
      </w:pPr>
      <w:rPr>
        <w:rFonts w:hint="eastAsia"/>
      </w:rPr>
    </w:lvl>
    <w:lvl w:ilvl="3">
      <w:start w:val="1"/>
      <w:numFmt w:val="decimal"/>
      <w:isLgl/>
      <w:suff w:val="nothing"/>
      <w:lvlText w:val="%2.%3.%4"/>
      <w:lvlJc w:val="left"/>
      <w:pPr>
        <w:ind w:left="1360" w:firstLine="403"/>
      </w:pPr>
      <w:rPr>
        <w:rFonts w:hint="eastAsia"/>
      </w:rPr>
    </w:lvl>
    <w:lvl w:ilvl="4">
      <w:start w:val="1"/>
      <w:numFmt w:val="decimal"/>
      <w:isLgl/>
      <w:suff w:val="nothing"/>
      <w:lvlText w:val="(%5)"/>
      <w:lvlJc w:val="left"/>
      <w:pPr>
        <w:ind w:left="1360" w:firstLine="403"/>
      </w:pPr>
      <w:rPr>
        <w:rFonts w:hint="eastAsia"/>
      </w:rPr>
    </w:lvl>
    <w:lvl w:ilvl="5">
      <w:start w:val="1"/>
      <w:numFmt w:val="decimal"/>
      <w:isLgl/>
      <w:suff w:val="nothing"/>
      <w:lvlText w:val="&lt;%6&gt;"/>
      <w:lvlJc w:val="left"/>
      <w:pPr>
        <w:ind w:left="1360" w:firstLine="403"/>
      </w:pPr>
      <w:rPr>
        <w:rFonts w:hint="eastAsia"/>
      </w:rPr>
    </w:lvl>
    <w:lvl w:ilvl="6">
      <w:start w:val="1"/>
      <w:numFmt w:val="decimal"/>
      <w:suff w:val="nothing"/>
      <w:lvlText w:val="%1.%2.%3.%4.%5.%6.%7."/>
      <w:lvlJc w:val="left"/>
      <w:pPr>
        <w:ind w:left="1360" w:firstLine="397"/>
      </w:pPr>
      <w:rPr>
        <w:rFonts w:hint="eastAsia"/>
      </w:rPr>
    </w:lvl>
    <w:lvl w:ilvl="7">
      <w:start w:val="1"/>
      <w:numFmt w:val="decimal"/>
      <w:suff w:val="nothing"/>
      <w:lvlText w:val="%1.%2.%3.%4.%5.%6.%7.%8."/>
      <w:lvlJc w:val="left"/>
      <w:pPr>
        <w:ind w:left="1360" w:firstLine="403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919"/>
        </w:tabs>
        <w:ind w:left="1360" w:firstLine="4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64C11"/>
    <w:rsid w:val="000C28CF"/>
    <w:rsid w:val="000D2C25"/>
    <w:rsid w:val="000F2B8B"/>
    <w:rsid w:val="00131C47"/>
    <w:rsid w:val="00162282"/>
    <w:rsid w:val="00172A27"/>
    <w:rsid w:val="00172F4B"/>
    <w:rsid w:val="001C7EA7"/>
    <w:rsid w:val="001E162B"/>
    <w:rsid w:val="001E7EC0"/>
    <w:rsid w:val="00207EF1"/>
    <w:rsid w:val="00221B9B"/>
    <w:rsid w:val="00246268"/>
    <w:rsid w:val="002B738B"/>
    <w:rsid w:val="003204EE"/>
    <w:rsid w:val="003944BA"/>
    <w:rsid w:val="003D01D0"/>
    <w:rsid w:val="003F2652"/>
    <w:rsid w:val="00420B0E"/>
    <w:rsid w:val="00495F7D"/>
    <w:rsid w:val="004D4A03"/>
    <w:rsid w:val="0058294A"/>
    <w:rsid w:val="00582D09"/>
    <w:rsid w:val="00586364"/>
    <w:rsid w:val="00643DE6"/>
    <w:rsid w:val="0065752C"/>
    <w:rsid w:val="006A191D"/>
    <w:rsid w:val="006C3A47"/>
    <w:rsid w:val="006D7FDC"/>
    <w:rsid w:val="006F2DA0"/>
    <w:rsid w:val="00723C9D"/>
    <w:rsid w:val="00725306"/>
    <w:rsid w:val="00734B53"/>
    <w:rsid w:val="007449C6"/>
    <w:rsid w:val="007A7419"/>
    <w:rsid w:val="008044FE"/>
    <w:rsid w:val="009351E9"/>
    <w:rsid w:val="009473A7"/>
    <w:rsid w:val="009830FD"/>
    <w:rsid w:val="009842E0"/>
    <w:rsid w:val="009A3B7C"/>
    <w:rsid w:val="00A10A9D"/>
    <w:rsid w:val="00A37E27"/>
    <w:rsid w:val="00A41238"/>
    <w:rsid w:val="00A615BC"/>
    <w:rsid w:val="00AA172C"/>
    <w:rsid w:val="00B3542A"/>
    <w:rsid w:val="00B53D1F"/>
    <w:rsid w:val="00B63323"/>
    <w:rsid w:val="00BA7B5C"/>
    <w:rsid w:val="00BE6BEA"/>
    <w:rsid w:val="00C31EA7"/>
    <w:rsid w:val="00C474DD"/>
    <w:rsid w:val="00C731C4"/>
    <w:rsid w:val="00CD5C08"/>
    <w:rsid w:val="00CE7BE5"/>
    <w:rsid w:val="00D37247"/>
    <w:rsid w:val="00D46944"/>
    <w:rsid w:val="00D86DBF"/>
    <w:rsid w:val="00DF7565"/>
    <w:rsid w:val="00E22022"/>
    <w:rsid w:val="00E24A11"/>
    <w:rsid w:val="00EC6207"/>
    <w:rsid w:val="00F243AB"/>
    <w:rsid w:val="00F3408B"/>
    <w:rsid w:val="00F80FBF"/>
    <w:rsid w:val="0FC80992"/>
    <w:rsid w:val="16064C0E"/>
    <w:rsid w:val="1B2F4356"/>
    <w:rsid w:val="1C1B1090"/>
    <w:rsid w:val="1FA82FE9"/>
    <w:rsid w:val="24533160"/>
    <w:rsid w:val="25ED547F"/>
    <w:rsid w:val="391F3301"/>
    <w:rsid w:val="446C2841"/>
    <w:rsid w:val="467E2C20"/>
    <w:rsid w:val="4CCC1AB0"/>
    <w:rsid w:val="510A0A3F"/>
    <w:rsid w:val="5688573A"/>
    <w:rsid w:val="59A23DB0"/>
    <w:rsid w:val="5AC34A2D"/>
    <w:rsid w:val="6FB03F04"/>
    <w:rsid w:val="7573086A"/>
    <w:rsid w:val="763039E0"/>
    <w:rsid w:val="7A0B0136"/>
    <w:rsid w:val="7CD0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6AA6756F"/>
  <w14:defaultImageDpi w14:val="300"/>
  <w15:docId w15:val="{D2808A11-0865-4617-A38B-0C1CD051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Heiti SC Light" w:eastAsia="Heiti SC Light"/>
      <w:sz w:val="24"/>
    </w:r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  <w:rPr>
      <w:rFonts w:ascii="仿宋_GB2312" w:eastAsia="仿宋_GB2312"/>
      <w:b/>
      <w:sz w:val="30"/>
      <w:szCs w:val="30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10">
    <w:name w:val="标题 1 字符"/>
    <w:link w:val="1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文档结构图 字符"/>
    <w:link w:val="a3"/>
    <w:uiPriority w:val="99"/>
    <w:semiHidden/>
    <w:qFormat/>
    <w:rPr>
      <w:rFonts w:ascii="Heiti SC Light" w:eastAsia="Heiti SC Light"/>
      <w:kern w:val="2"/>
      <w:sz w:val="24"/>
      <w:szCs w:val="24"/>
    </w:rPr>
  </w:style>
  <w:style w:type="character" w:customStyle="1" w:styleId="a6">
    <w:name w:val="日期 字符"/>
    <w:link w:val="a5"/>
    <w:uiPriority w:val="99"/>
    <w:qFormat/>
    <w:rPr>
      <w:rFonts w:ascii="仿宋_GB2312" w:eastAsia="仿宋_GB2312"/>
      <w:b/>
      <w:kern w:val="2"/>
      <w:sz w:val="30"/>
      <w:szCs w:val="30"/>
    </w:rPr>
  </w:style>
  <w:style w:type="paragraph" w:customStyle="1" w:styleId="Char">
    <w:name w:val="Char"/>
    <w:basedOn w:val="a3"/>
    <w:qFormat/>
    <w:pPr>
      <w:keepNext/>
      <w:numPr>
        <w:numId w:val="1"/>
      </w:numPr>
      <w:shd w:val="clear" w:color="auto" w:fill="000080"/>
      <w:spacing w:beforeLines="100" w:before="100"/>
      <w:ind w:left="0" w:hanging="360"/>
    </w:pPr>
    <w:rPr>
      <w:rFonts w:ascii="Tahoma" w:eastAsia="宋体" w:hAnsi="Tahoma"/>
    </w:rPr>
  </w:style>
  <w:style w:type="paragraph" w:customStyle="1" w:styleId="Char1">
    <w:name w:val="Char1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61010120110901</dc:title>
  <dc:creator>X</dc:creator>
  <cp:lastModifiedBy>张 绪才</cp:lastModifiedBy>
  <cp:revision>21</cp:revision>
  <cp:lastPrinted>2011-10-13T09:08:00Z</cp:lastPrinted>
  <dcterms:created xsi:type="dcterms:W3CDTF">2012-02-15T11:51:00Z</dcterms:created>
  <dcterms:modified xsi:type="dcterms:W3CDTF">2019-04-23T14:42:00Z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