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Arial" w:hAnsi="Arial" w:cs="Arial"/>
          <w:b/>
          <w:color w:val="0000FF"/>
          <w:sz w:val="40"/>
          <w:szCs w:val="40"/>
        </w:rPr>
      </w:pPr>
      <w:r>
        <w:rPr>
          <w:rFonts w:hint="eastAsia" w:ascii="Arial" w:hAnsi="宋体"/>
          <w:b/>
          <w:color w:val="0000FF"/>
          <w:sz w:val="44"/>
          <w:szCs w:val="68"/>
        </w:rPr>
        <w:t>研发部门新版</w:t>
      </w:r>
      <w:r>
        <w:rPr>
          <w:rFonts w:ascii="Arial" w:hAnsi="Arial" w:cs="Arial"/>
          <w:b/>
          <w:color w:val="0000FF"/>
          <w:sz w:val="40"/>
          <w:szCs w:val="40"/>
        </w:rPr>
        <w:t>DFMEA高级应用</w:t>
      </w:r>
    </w:p>
    <w:p>
      <w:pPr>
        <w:spacing w:line="240" w:lineRule="atLeast"/>
        <w:jc w:val="center"/>
        <w:rPr>
          <w:rFonts w:ascii="Arial" w:hAnsi="Arial" w:cs="Arial"/>
          <w:b/>
          <w:color w:val="0000FF"/>
          <w:sz w:val="32"/>
          <w:szCs w:val="32"/>
        </w:rPr>
      </w:pPr>
      <w:r>
        <w:rPr>
          <w:rFonts w:ascii="Arial" w:hAnsi="Arial" w:cs="Arial"/>
          <w:b/>
          <w:color w:val="0000FF"/>
          <w:sz w:val="32"/>
          <w:szCs w:val="32"/>
        </w:rPr>
        <w:t>(Advanced AIAG-VDA DFMEA Application for R&amp;D)</w:t>
      </w:r>
    </w:p>
    <w:p>
      <w:pPr>
        <w:spacing w:line="240" w:lineRule="atLeast"/>
        <w:jc w:val="center"/>
        <w:rPr>
          <w:rFonts w:ascii="Arial" w:hAnsi="Arial" w:cs="Arial"/>
          <w:b/>
          <w:color w:val="0000FF"/>
          <w:sz w:val="36"/>
          <w:szCs w:val="36"/>
        </w:rPr>
      </w:pPr>
      <w:r>
        <w:rPr>
          <w:rFonts w:ascii="Arial" w:hAnsi="Arial" w:cs="Arial"/>
          <w:b/>
          <w:color w:val="FF0000"/>
          <w:sz w:val="28"/>
          <w:szCs w:val="28"/>
        </w:rPr>
        <w:t xml:space="preserve"> 2 天课程  基于AIAG-</w:t>
      </w:r>
      <w:r>
        <w:rPr>
          <w:rFonts w:hint="eastAsia" w:ascii="Arial" w:hAnsi="Arial" w:cs="Arial"/>
          <w:b/>
          <w:color w:val="FF0000"/>
          <w:sz w:val="28"/>
          <w:szCs w:val="28"/>
        </w:rPr>
        <w:t>VDA</w:t>
      </w:r>
      <w:r>
        <w:rPr>
          <w:rFonts w:ascii="Arial" w:hAnsi="Arial" w:cs="Arial"/>
          <w:b/>
          <w:color w:val="FF0000"/>
          <w:sz w:val="28"/>
          <w:szCs w:val="28"/>
        </w:rPr>
        <w:t>新</w:t>
      </w:r>
      <w:r>
        <w:rPr>
          <w:rFonts w:hint="eastAsia" w:ascii="Arial" w:hAnsi="Arial" w:cs="Arial"/>
          <w:b/>
          <w:color w:val="FF0000"/>
          <w:sz w:val="28"/>
          <w:szCs w:val="28"/>
        </w:rPr>
        <w:t>版</w:t>
      </w:r>
      <w:r>
        <w:rPr>
          <w:rFonts w:ascii="Arial" w:hAnsi="Arial" w:cs="Arial"/>
          <w:b/>
          <w:color w:val="FF0000"/>
          <w:sz w:val="28"/>
          <w:szCs w:val="28"/>
        </w:rPr>
        <w:t xml:space="preserve">FMEA </w:t>
      </w:r>
    </w:p>
    <w:p>
      <w:pPr>
        <w:spacing w:line="245" w:lineRule="atLeast"/>
        <w:jc w:val="center"/>
        <w:rPr>
          <w:rFonts w:ascii="Arial" w:hAnsi="Arial" w:cs="Arial"/>
        </w:rPr>
      </w:pPr>
      <w:r>
        <w:rPr>
          <w:rFonts w:ascii="Arial" w:hAnsi="Arial" w:cs="Arial"/>
        </w:rPr>
        <w:pict>
          <v:rect id="_x0000_i1025" o:spt="1" style="height:1.5pt;width:415.3pt;" fillcolor="#80808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  <w:r>
        <w:rPr>
          <w:rStyle w:val="9"/>
          <w:rFonts w:ascii="Arial" w:hAnsi="Arial" w:cs="Arial"/>
          <w:sz w:val="19"/>
          <w:szCs w:val="19"/>
        </w:rPr>
        <w:t>培训目的：</w:t>
      </w:r>
      <w:r>
        <w:rPr>
          <w:rFonts w:ascii="Arial" w:hAnsi="Arial" w:cs="Arial"/>
          <w:sz w:val="19"/>
          <w:szCs w:val="19"/>
        </w:rPr>
        <w:t xml:space="preserve">　  </w:t>
      </w:r>
    </w:p>
    <w:p>
      <w:pPr>
        <w:numPr>
          <w:ilvl w:val="0"/>
          <w:numId w:val="1"/>
        </w:num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全面掌握AIAG</w:t>
      </w:r>
      <w:r>
        <w:rPr>
          <w:rFonts w:hint="eastAsia" w:ascii="Arial" w:hAnsi="Arial" w:cs="Arial"/>
          <w:sz w:val="19"/>
          <w:szCs w:val="19"/>
        </w:rPr>
        <w:t>-VDA</w:t>
      </w:r>
      <w:r>
        <w:rPr>
          <w:rFonts w:ascii="Arial" w:hAnsi="Arial" w:cs="Arial"/>
          <w:sz w:val="19"/>
          <w:szCs w:val="19"/>
        </w:rPr>
        <w:t>最新FMEA要求及更新内容：包括最新的SOD</w:t>
      </w:r>
      <w:r>
        <w:rPr>
          <w:rFonts w:hint="eastAsia" w:ascii="Arial" w:hAnsi="Arial" w:cs="Arial"/>
          <w:sz w:val="19"/>
          <w:szCs w:val="19"/>
        </w:rPr>
        <w:t>，A</w:t>
      </w:r>
      <w:r>
        <w:rPr>
          <w:rFonts w:ascii="Arial" w:hAnsi="Arial" w:cs="Arial"/>
          <w:sz w:val="19"/>
          <w:szCs w:val="19"/>
        </w:rPr>
        <w:t>P评分方法、多种可FMEA表格模版、及最新推荐的DRBFM在设计变更失效预防中的应用和高层FMEA职责等；</w:t>
      </w:r>
    </w:p>
    <w:p>
      <w:pPr>
        <w:numPr>
          <w:ilvl w:val="0"/>
          <w:numId w:val="1"/>
        </w:num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透彻理解DFMEA表格及内部逻辑和填写要求，明晰DFMEA和PFMEA、DFMEA与DVP&amp;R,系统、子系统、部件、零件之间的区别和相互传递的接口与方法；</w:t>
      </w:r>
    </w:p>
    <w:p>
      <w:pPr>
        <w:numPr>
          <w:ilvl w:val="0"/>
          <w:numId w:val="1"/>
        </w:num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掌握开展DFMEA团队组建和协同开发的技巧，及DFMEA质量评价和有效性验证的方法，并把以往发生的失效模式和产品特殊特性在DFMEA中进行充分落实以预防问题重犯；</w:t>
      </w:r>
    </w:p>
    <w:p>
      <w:pPr>
        <w:numPr>
          <w:ilvl w:val="0"/>
          <w:numId w:val="1"/>
        </w:num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熟练运用结构框图（Block Diagram）、界面功能矩阵（Interface Function Matrix）、参数图(P-Diagram)等工具方法，开发出能够真正预防潜在失效的高质量DFMEA，实现产品稳健设计；</w:t>
      </w:r>
    </w:p>
    <w:p>
      <w:pPr>
        <w:numPr>
          <w:ilvl w:val="0"/>
          <w:numId w:val="1"/>
        </w:num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掌握企业推进DFMEA的策略并分享最佳实践，学会如何应用DFMEA进行知识管理，形成企业技术沉淀和长久的技术竞争力。</w:t>
      </w:r>
    </w:p>
    <w:p>
      <w:pPr>
        <w:spacing w:line="360" w:lineRule="auto"/>
        <w:rPr>
          <w:rStyle w:val="9"/>
          <w:rFonts w:ascii="Arial" w:hAnsi="Arial" w:cs="Arial"/>
        </w:rPr>
      </w:pPr>
      <w:r>
        <w:rPr>
          <w:rStyle w:val="9"/>
          <w:rFonts w:ascii="Arial" w:hAnsi="Arial" w:cs="Arial"/>
          <w:sz w:val="19"/>
          <w:szCs w:val="19"/>
        </w:rPr>
        <w:t>培训特色：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i/>
          <w:color w:val="0000FF"/>
          <w:sz w:val="19"/>
          <w:szCs w:val="19"/>
        </w:rPr>
        <w:t>(1)强调实际应用：</w:t>
      </w:r>
      <w:r>
        <w:rPr>
          <w:rFonts w:ascii="Arial" w:hAnsi="Arial" w:cs="Arial"/>
          <w:sz w:val="19"/>
          <w:szCs w:val="19"/>
        </w:rPr>
        <w:t>承诺可以做到直接使用学员自己设计的零件产品进行课堂DFMEA练习和点评分析，可以确保学员通过2天的培训，具备独立编写开发出自己产品高质量DFMEA的实战能力；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i/>
          <w:color w:val="0000FF"/>
          <w:sz w:val="19"/>
          <w:szCs w:val="19"/>
        </w:rPr>
        <w:t>(2)顾问式授课：</w:t>
      </w:r>
      <w:r>
        <w:rPr>
          <w:rFonts w:ascii="Arial" w:hAnsi="Arial" w:cs="Arial"/>
          <w:sz w:val="19"/>
          <w:szCs w:val="19"/>
        </w:rPr>
        <w:t>由国际顶尖研发中心具有丰富整车及零部件开发DFMEA实际实施应用经验的咨询顾问主讲，开放式答疑解惑，做到对任何相关DFMEA的问题，知无不言，言无不尽；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i/>
          <w:color w:val="0000FF"/>
          <w:sz w:val="19"/>
          <w:szCs w:val="19"/>
        </w:rPr>
        <w:t>(3)针对性极强：</w:t>
      </w:r>
      <w:r>
        <w:rPr>
          <w:rFonts w:ascii="Arial" w:hAnsi="Arial" w:cs="Arial"/>
          <w:sz w:val="19"/>
          <w:szCs w:val="19"/>
        </w:rPr>
        <w:t>系统分析当前中国企业推进实施DFMEA存在的关键问题，并提出解决之道和咨询意见；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i/>
          <w:color w:val="0000FF"/>
          <w:sz w:val="19"/>
          <w:szCs w:val="19"/>
        </w:rPr>
        <w:t>(4)内容最新颖：</w:t>
      </w:r>
      <w:r>
        <w:rPr>
          <w:rFonts w:ascii="Arial" w:hAnsi="Arial" w:cs="Arial"/>
          <w:sz w:val="19"/>
          <w:szCs w:val="19"/>
        </w:rPr>
        <w:t xml:space="preserve">讲解最新FMEA改进内容如SOD评分、AP改进措施策略和多种实用工具方法及表格，极大提高工程师DFMEA实际应用水平；    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i/>
          <w:color w:val="0000FF"/>
          <w:sz w:val="19"/>
          <w:szCs w:val="19"/>
        </w:rPr>
        <w:t>(5)聚焦“更改”：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19"/>
          <w:szCs w:val="19"/>
        </w:rPr>
        <w:t>介绍最新失效预防分析技术－DRBFM作为DFMEA的重要补充工具，帮助工程师快速聚焦“变更”，,透彻分析“变更”所带来的潜在失效并进行有效预防，实现稳健设计；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b/>
          <w:i/>
          <w:color w:val="0000FF"/>
          <w:sz w:val="19"/>
          <w:szCs w:val="19"/>
        </w:rPr>
        <w:t>(6)FMEA意识和文化贯穿始终：</w:t>
      </w:r>
      <w:r>
        <w:rPr>
          <w:rFonts w:ascii="Arial" w:hAnsi="Arial" w:cs="Arial"/>
          <w:sz w:val="19"/>
          <w:szCs w:val="19"/>
        </w:rPr>
        <w:t>分享咨询顾问长期在企业实施DFMEA的最佳实践经验,把失效预防融入工程师意识和日常习惯，并整合进产品开发流程，上升为企业行为进行全面失效预防和知识管理。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</w:p>
    <w:p>
      <w:pPr>
        <w:rPr>
          <w:rFonts w:ascii="Arial" w:hAnsi="Arial" w:cs="Arial"/>
        </w:rPr>
      </w:pPr>
    </w:p>
    <w:p>
      <w:pPr>
        <w:ind w:left="180"/>
        <w:rPr>
          <w:rFonts w:ascii="Arial" w:hAnsi="Arial" w:cs="Arial"/>
          <w:b/>
          <w:sz w:val="21"/>
          <w:szCs w:val="21"/>
        </w:rPr>
      </w:pPr>
    </w:p>
    <w:p>
      <w:pPr>
        <w:ind w:left="180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中国企业设计失效预防DFMEA实施现状</w:t>
      </w:r>
    </w:p>
    <w:p>
      <w:pPr>
        <w:ind w:left="180"/>
        <w:rPr>
          <w:rFonts w:ascii="Arial" w:hAnsi="Arial" w:cs="Arial"/>
          <w:bCs/>
          <w:sz w:val="21"/>
          <w:szCs w:val="21"/>
        </w:rPr>
      </w:pPr>
    </w:p>
    <w:p>
      <w:pPr>
        <w:widowControl w:val="0"/>
        <w:numPr>
          <w:ilvl w:val="0"/>
          <w:numId w:val="2"/>
        </w:numPr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几乎每家质量方面咨询公司都会帮顾客做FMEA</w:t>
      </w:r>
      <w:r>
        <w:rPr>
          <w:rFonts w:ascii="Arial" w:hAnsi="Arial" w:cs="Arial"/>
          <w:sz w:val="21"/>
          <w:szCs w:val="21"/>
        </w:rPr>
        <w:t>（潜在失效模式和影响分析）</w:t>
      </w:r>
      <w:r>
        <w:rPr>
          <w:rFonts w:ascii="Arial" w:hAnsi="Arial" w:cs="Arial"/>
          <w:bCs/>
          <w:sz w:val="21"/>
          <w:szCs w:val="21"/>
        </w:rPr>
        <w:t>培训项目，</w:t>
      </w:r>
      <w:r>
        <w:rPr>
          <w:rFonts w:ascii="Arial" w:hAnsi="Arial" w:cs="Arial"/>
          <w:sz w:val="21"/>
          <w:szCs w:val="21"/>
        </w:rPr>
        <w:t>然而只有极少数的案子有皆大欢</w:t>
      </w:r>
      <w:r>
        <w:rPr>
          <w:rFonts w:ascii="Arial" w:hAnsi="Arial" w:cs="Arial"/>
          <w:bCs/>
          <w:sz w:val="21"/>
          <w:szCs w:val="21"/>
        </w:rPr>
        <w:t>喜的结局。即使顺利结案了，被培训完后有半数以上的企业自己做了一段时间后就发现FMEA象“鸡肋”，”食之无味，弃之可惜”！</w:t>
      </w:r>
    </w:p>
    <w:p>
      <w:pPr>
        <w:widowControl w:val="0"/>
        <w:numPr>
          <w:ilvl w:val="0"/>
          <w:numId w:val="2"/>
        </w:numPr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几乎每家汽车行业或涉足汽车行业的公司，无论是整车厂还是零部件供应商都会要求或被要求做FMEA</w:t>
      </w:r>
      <w:r>
        <w:rPr>
          <w:rFonts w:ascii="Arial" w:hAnsi="Arial" w:cs="Arial"/>
          <w:bCs/>
          <w:sz w:val="21"/>
          <w:szCs w:val="21"/>
        </w:rPr>
        <w:t>（潜在失效模式和影响分析），然而却很少有企业真正从中受益！</w:t>
      </w:r>
    </w:p>
    <w:p>
      <w:pPr>
        <w:widowControl w:val="0"/>
        <w:numPr>
          <w:ilvl w:val="0"/>
          <w:numId w:val="2"/>
        </w:numPr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据“质量工具应用综合调查”统计，89.4%的中国企业推动FMEA一直都得不到很好的实施成效！</w:t>
      </w:r>
    </w:p>
    <w:p>
      <w:pPr>
        <w:widowControl w:val="0"/>
        <w:numPr>
          <w:ilvl w:val="0"/>
          <w:numId w:val="2"/>
        </w:numPr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因此，到目前为止，如何有效进行产品设计和制造的失效预防而不是事后“救火”，仍然是</w:t>
      </w:r>
      <w:r>
        <w:rPr>
          <w:rFonts w:ascii="Arial" w:hAnsi="Arial" w:cs="Arial"/>
          <w:sz w:val="21"/>
          <w:szCs w:val="21"/>
        </w:rPr>
        <w:t>企业最头痛的问题之一。</w:t>
      </w:r>
    </w:p>
    <w:p>
      <w:pPr>
        <w:ind w:firstLine="344" w:firstLineChars="163"/>
        <w:rPr>
          <w:rFonts w:ascii="Arial" w:hAnsi="Arial" w:cs="Arial"/>
          <w:b/>
          <w:sz w:val="21"/>
          <w:szCs w:val="21"/>
        </w:rPr>
      </w:pPr>
    </w:p>
    <w:p>
      <w:pPr>
        <w:ind w:firstLine="344" w:firstLineChars="163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其实，企业DFMEA是否已成功导入的鉴定标准有二条：</w:t>
      </w:r>
    </w:p>
    <w:p>
      <w:pPr>
        <w:widowControl w:val="0"/>
        <w:numPr>
          <w:ilvl w:val="0"/>
          <w:numId w:val="3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DFMEA有没有帮助企业有效进行产品设计及制造的失效预防？-失效预防! </w:t>
      </w:r>
    </w:p>
    <w:p>
      <w:pPr>
        <w:widowControl w:val="0"/>
        <w:numPr>
          <w:ilvl w:val="0"/>
          <w:numId w:val="3"/>
        </w:numPr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DFMEA有没有帮助企业进行知识管理形成技术沉淀和长久技术竞争力?-知识管理!</w:t>
      </w:r>
    </w:p>
    <w:p>
      <w:pPr>
        <w:tabs>
          <w:tab w:val="left" w:pos="540"/>
        </w:tabs>
        <w:ind w:left="304" w:leftChars="136" w:hanging="32" w:hangingChars="15"/>
        <w:rPr>
          <w:rFonts w:ascii="Arial" w:hAnsi="Arial" w:cs="Arial"/>
          <w:b/>
          <w:sz w:val="21"/>
          <w:szCs w:val="21"/>
        </w:rPr>
      </w:pPr>
    </w:p>
    <w:p>
      <w:pPr>
        <w:tabs>
          <w:tab w:val="left" w:pos="540"/>
        </w:tabs>
        <w:ind w:left="304" w:leftChars="136" w:hanging="32" w:hangingChars="15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总结下来，DFMEA失败的根本原因有二：</w:t>
      </w:r>
    </w:p>
    <w:p>
      <w:pPr>
        <w:widowControl w:val="0"/>
        <w:numPr>
          <w:ilvl w:val="0"/>
          <w:numId w:val="4"/>
        </w:numPr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DFMEA未跟企业产品开发与制造流程紧密结合, 本应事前预防的DFMEA变成事后演练的“纸面文章”。</w:t>
      </w:r>
    </w:p>
    <w:p>
      <w:pPr>
        <w:ind w:left="1453" w:leftChars="44" w:hanging="1365" w:hangingChars="650"/>
        <w:rPr>
          <w:rFonts w:ascii="Arial" w:hAnsi="Arial" w:cs="Arial"/>
          <w:b/>
          <w:bCs/>
          <w:sz w:val="21"/>
          <w:szCs w:val="21"/>
          <w:u w:val="single"/>
        </w:rPr>
      </w:pPr>
      <w:r>
        <w:rPr>
          <w:rFonts w:ascii="Arial" w:hAnsi="Arial" w:cs="Arial"/>
          <w:bCs/>
          <w:sz w:val="21"/>
          <w:szCs w:val="21"/>
        </w:rPr>
        <w:t xml:space="preserve">   </w:t>
      </w:r>
      <w:r>
        <w:rPr>
          <w:rFonts w:ascii="Arial" w:hAnsi="Arial" w:cs="Arial"/>
          <w:b/>
          <w:bCs/>
          <w:sz w:val="21"/>
          <w:szCs w:val="21"/>
          <w:u w:val="single"/>
        </w:rPr>
        <w:t>典型症状: 体系“空转”，FMEA“空做”，问题“照来”</w:t>
      </w:r>
    </w:p>
    <w:p>
      <w:pPr>
        <w:ind w:left="1284" w:leftChars="642"/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企业质量体系年年审,年年过。可企业产品质量问题依旧重复出现，吃尽苦头。DFMEA做了4~5年，数百份如同废纸，失效预防还是靠 “天生蛮力”没有章法。</w:t>
      </w:r>
    </w:p>
    <w:p>
      <w:pPr>
        <w:ind w:left="1284" w:leftChars="642"/>
        <w:rPr>
          <w:rFonts w:ascii="Arial" w:hAnsi="Arial" w:cs="Arial"/>
          <w:bCs/>
          <w:sz w:val="21"/>
          <w:szCs w:val="21"/>
        </w:rPr>
      </w:pPr>
    </w:p>
    <w:p>
      <w:pPr>
        <w:widowControl w:val="0"/>
        <w:numPr>
          <w:ilvl w:val="0"/>
          <w:numId w:val="4"/>
        </w:numPr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工程师并没有真正理解什么是DFMEA，且没有掌握开发高质量DFMEA的方法。</w:t>
      </w:r>
    </w:p>
    <w:p>
      <w:pPr>
        <w:ind w:left="1405" w:leftChars="228" w:hanging="949" w:hangingChars="450"/>
        <w:rPr>
          <w:rFonts w:ascii="Arial" w:hAnsi="Arial" w:cs="Arial"/>
          <w:b/>
          <w:bCs/>
          <w:sz w:val="21"/>
          <w:szCs w:val="21"/>
          <w:u w:val="single"/>
        </w:rPr>
      </w:pPr>
      <w:r>
        <w:rPr>
          <w:rFonts w:ascii="Arial" w:hAnsi="Arial" w:cs="Arial"/>
          <w:b/>
          <w:bCs/>
          <w:sz w:val="21"/>
          <w:szCs w:val="21"/>
          <w:u w:val="single"/>
        </w:rPr>
        <w:t>典型症状: DFMEA做完，工程师自己都不想看第二遍。</w:t>
      </w:r>
    </w:p>
    <w:p>
      <w:pPr>
        <w:ind w:left="1284" w:leftChars="642"/>
        <w:rPr>
          <w:rFonts w:ascii="Arial" w:hAnsi="Arial" w:cs="Arial"/>
          <w:bCs/>
          <w:sz w:val="21"/>
          <w:szCs w:val="21"/>
        </w:rPr>
      </w:pPr>
      <w:r>
        <w:rPr>
          <w:rFonts w:ascii="Arial" w:hAnsi="Arial" w:cs="Arial"/>
          <w:bCs/>
          <w:sz w:val="21"/>
          <w:szCs w:val="21"/>
        </w:rPr>
        <w:t>由于没有理解DFMEA内部的逻辑关系，盲目照搬FMEA手册模版表格，缺乏DFMEA开发的思路和方法，单纯依靠头脑风暴“爬写”，失效模式、后果及原因混淆不清，加之风险评分模棱两可，这样的DFMEA连工程师自己都不想看第二遍，又怎能寄希望于失效预防？</w:t>
      </w:r>
    </w:p>
    <w:p>
      <w:pPr>
        <w:ind w:firstLine="342" w:firstLineChars="163"/>
        <w:rPr>
          <w:rFonts w:ascii="Arial" w:hAnsi="Arial" w:cs="Arial"/>
          <w:sz w:val="21"/>
          <w:szCs w:val="21"/>
        </w:rPr>
      </w:pPr>
    </w:p>
    <w:p>
      <w:pPr>
        <w:ind w:firstLine="342" w:firstLineChars="163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我们的DFMEA顾问是在中国企业进行失效预防FMEA实施的亲历亲为者，我们深刻体会和了解中国企业实施DFMEA的困难和期待，我们根据多年在企业咨询服务经验提炼总结面向研发工程师的</w:t>
      </w:r>
      <w:r>
        <w:rPr>
          <w:rFonts w:hint="eastAsia" w:ascii="Arial" w:hAnsi="Arial" w:cs="Arial"/>
          <w:sz w:val="21"/>
          <w:szCs w:val="21"/>
        </w:rPr>
        <w:t>实战培训课程</w:t>
      </w:r>
      <w:r>
        <w:rPr>
          <w:rFonts w:ascii="Arial" w:hAnsi="Arial" w:cs="Arial"/>
          <w:sz w:val="21"/>
          <w:szCs w:val="21"/>
        </w:rPr>
        <w:t xml:space="preserve"> </w:t>
      </w:r>
    </w:p>
    <w:p>
      <w:pPr>
        <w:rPr>
          <w:rFonts w:ascii="Arial" w:hAnsi="Arial" w:cs="Arial"/>
          <w:i/>
          <w:color w:val="000080"/>
          <w:sz w:val="21"/>
          <w:szCs w:val="21"/>
        </w:rPr>
      </w:pPr>
    </w:p>
    <w:p>
      <w:pPr>
        <w:ind w:firstLine="342" w:firstLineChars="163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我们采用互动性极强的实战培训方式，直接使用学员自己设计的零件产品进行课堂DFMEA练习和点评分析，确保学员通过培训，具备独立编写开发出自己产品高质量DFMEA的实战能力</w:t>
      </w:r>
    </w:p>
    <w:p>
      <w:pPr>
        <w:ind w:firstLine="342" w:firstLineChars="163"/>
        <w:rPr>
          <w:rFonts w:ascii="Arial" w:hAnsi="Arial" w:cs="Arial"/>
          <w:sz w:val="21"/>
          <w:szCs w:val="21"/>
        </w:rPr>
      </w:pPr>
    </w:p>
    <w:p>
      <w:pPr>
        <w:ind w:firstLine="315" w:firstLineChars="15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您或您的企业如果有任何相关DFMEA的问题，欢迎与我们联系，我们将为您提供实用有效的DFMEA解决方案。</w:t>
      </w:r>
    </w:p>
    <w:p>
      <w:pPr>
        <w:ind w:left="178" w:hanging="178" w:hangingChars="85"/>
        <w:jc w:val="center"/>
        <w:rPr>
          <w:rFonts w:ascii="Arial" w:hAnsi="Arial" w:cs="Arial"/>
          <w:sz w:val="21"/>
          <w:szCs w:val="21"/>
        </w:rPr>
      </w:pPr>
    </w:p>
    <w:p>
      <w:pPr>
        <w:ind w:left="178" w:hanging="178" w:hangingChars="85"/>
        <w:jc w:val="center"/>
        <w:rPr>
          <w:rFonts w:ascii="Arial" w:hAnsi="Arial" w:cs="Arial"/>
          <w:sz w:val="21"/>
          <w:szCs w:val="21"/>
        </w:rPr>
      </w:pPr>
    </w:p>
    <w:p>
      <w:pPr>
        <w:ind w:left="178" w:hanging="178" w:hangingChars="85"/>
        <w:jc w:val="center"/>
        <w:rPr>
          <w:rFonts w:ascii="Arial" w:hAnsi="Arial" w:cs="Arial"/>
          <w:sz w:val="21"/>
          <w:szCs w:val="21"/>
        </w:rPr>
      </w:pPr>
    </w:p>
    <w:p>
      <w:pPr>
        <w:ind w:left="178" w:hanging="178" w:hangingChars="85"/>
        <w:jc w:val="center"/>
        <w:rPr>
          <w:rFonts w:ascii="Arial" w:hAnsi="Arial" w:cs="Arial"/>
          <w:sz w:val="21"/>
          <w:szCs w:val="21"/>
        </w:rPr>
      </w:pPr>
    </w:p>
    <w:p>
      <w:pPr>
        <w:ind w:left="178" w:hanging="178" w:hangingChars="85"/>
        <w:jc w:val="center"/>
        <w:rPr>
          <w:rFonts w:ascii="Arial" w:hAnsi="Arial" w:cs="Arial"/>
          <w:sz w:val="21"/>
          <w:szCs w:val="21"/>
        </w:rPr>
      </w:pPr>
    </w:p>
    <w:p>
      <w:pPr>
        <w:ind w:left="178" w:hanging="178" w:hangingChars="85"/>
        <w:jc w:val="center"/>
        <w:rPr>
          <w:rFonts w:hint="eastAsia" w:ascii="Arial" w:hAnsi="Arial" w:cs="Arial"/>
          <w:sz w:val="21"/>
          <w:szCs w:val="21"/>
        </w:rPr>
      </w:pPr>
    </w:p>
    <w:p>
      <w:pPr>
        <w:spacing w:line="400" w:lineRule="exact"/>
        <w:jc w:val="center"/>
        <w:rPr>
          <w:rFonts w:ascii="Arial" w:hAnsi="Arial" w:cs="Arial"/>
          <w:b/>
        </w:rPr>
      </w:pPr>
    </w:p>
    <w:p>
      <w:pPr>
        <w:spacing w:line="360" w:lineRule="auto"/>
        <w:rPr>
          <w:rFonts w:ascii="Arial" w:hAnsi="Arial" w:cs="Arial"/>
          <w:b/>
          <w:sz w:val="19"/>
          <w:szCs w:val="19"/>
        </w:rPr>
      </w:pPr>
      <w:r>
        <w:rPr>
          <w:rFonts w:ascii="Arial" w:hAnsi="Arial" w:cs="Arial"/>
          <w:b/>
          <w:sz w:val="19"/>
          <w:szCs w:val="19"/>
        </w:rPr>
        <w:t>培训对象：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产品设计工程师、产品质量工程师、产品试验工程师、产品开发项目经理、工艺工程师、开发设计和质量规划战略决策领导，参与产品/服务/流程开发设计的开发/产品/项目经理/工程师，六西格玛GB/BB/MBB等。</w:t>
      </w:r>
    </w:p>
    <w:p>
      <w:pPr>
        <w:spacing w:line="360" w:lineRule="auto"/>
        <w:rPr>
          <w:rFonts w:ascii="Arial" w:hAnsi="Arial" w:cs="Arial"/>
          <w:b/>
          <w:sz w:val="19"/>
          <w:szCs w:val="19"/>
        </w:rPr>
      </w:pPr>
      <w:r>
        <w:rPr>
          <w:rFonts w:ascii="Arial" w:hAnsi="Arial" w:cs="Arial"/>
          <w:b/>
          <w:sz w:val="19"/>
          <w:szCs w:val="19"/>
        </w:rPr>
        <w:t>培训方式：</w:t>
      </w:r>
    </w:p>
    <w:p>
      <w:pPr>
        <w:spacing w:line="360" w:lineRule="auto"/>
        <w:rPr>
          <w:rFonts w:ascii="Arial" w:hAnsi="Arial" w:cs="Arial"/>
          <w:sz w:val="19"/>
          <w:szCs w:val="19"/>
        </w:rPr>
      </w:pPr>
    </w:p>
    <w:p>
      <w:pPr>
        <w:numPr>
          <w:ilvl w:val="0"/>
          <w:numId w:val="5"/>
        </w:num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以分组方式进行，每组5人，产品设计工程师为每组主导，关联业务质量、工艺工程师及管理层分布在各实际设计业务小组之中，最多5组。每个小组在培训过程中需要启动至少1个自己公司实际设计产品的DFMEA项目贯穿全程培训练习和讲解。</w:t>
      </w:r>
    </w:p>
    <w:p>
      <w:pPr>
        <w:numPr>
          <w:ilvl w:val="0"/>
          <w:numId w:val="5"/>
        </w:num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每组至少1台电脑（电脑配置要求：安装Microsoft Excel 2003及以上版本，非Vista操作系统）用于产品DFMEA实战练习。</w:t>
      </w:r>
    </w:p>
    <w:p>
      <w:pPr>
        <w:numPr>
          <w:ilvl w:val="0"/>
          <w:numId w:val="5"/>
        </w:numPr>
        <w:spacing w:line="360" w:lineRule="auto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如果条件允许，工程师可把自己负责设计的零件产品样品带到课堂，咨询顾问进行现场DFMEA分析讲解。</w:t>
      </w:r>
    </w:p>
    <w:p>
      <w:pPr>
        <w:spacing w:line="360" w:lineRule="auto"/>
        <w:rPr>
          <w:rFonts w:ascii="Arial" w:hAnsi="Arial" w:cs="Arial"/>
          <w:b/>
          <w:sz w:val="19"/>
          <w:szCs w:val="19"/>
        </w:rPr>
      </w:pPr>
    </w:p>
    <w:p>
      <w:pPr>
        <w:spacing w:line="245" w:lineRule="atLeast"/>
        <w:rPr>
          <w:rStyle w:val="9"/>
          <w:rFonts w:ascii="Arial" w:hAnsi="Arial" w:cs="Arial"/>
          <w:sz w:val="19"/>
          <w:szCs w:val="19"/>
        </w:rPr>
      </w:pPr>
    </w:p>
    <w:p>
      <w:pPr>
        <w:spacing w:line="245" w:lineRule="atLeast"/>
        <w:rPr>
          <w:rStyle w:val="9"/>
          <w:rFonts w:ascii="Arial" w:hAnsi="Arial" w:cs="Arial"/>
          <w:sz w:val="19"/>
          <w:szCs w:val="19"/>
        </w:rPr>
      </w:pPr>
    </w:p>
    <w:p>
      <w:pPr>
        <w:spacing w:line="245" w:lineRule="atLeast"/>
        <w:rPr>
          <w:rStyle w:val="9"/>
          <w:rFonts w:ascii="Arial" w:hAnsi="Arial" w:cs="Arial"/>
          <w:sz w:val="19"/>
          <w:szCs w:val="19"/>
        </w:rPr>
      </w:pPr>
      <w:r>
        <w:rPr>
          <w:rStyle w:val="9"/>
          <w:rFonts w:ascii="Arial" w:hAnsi="Arial" w:cs="Arial"/>
          <w:sz w:val="19"/>
          <w:szCs w:val="19"/>
        </w:rPr>
        <w:t>客户评价（篇幅所限，仅列部分）：</w:t>
      </w:r>
    </w:p>
    <w:p>
      <w:pPr>
        <w:spacing w:line="245" w:lineRule="atLeast"/>
        <w:jc w:val="right"/>
        <w:rPr>
          <w:rFonts w:ascii="Arial" w:hAnsi="Arial" w:cs="Arial"/>
          <w:sz w:val="21"/>
          <w:szCs w:val="21"/>
        </w:rPr>
      </w:pPr>
    </w:p>
    <w:p>
      <w:pPr>
        <w:spacing w:line="245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“刘老师的DFMEA培训不仅提供了行之有效操作方法，更重要的是改变了我们产品设计的思维模式”</w:t>
      </w:r>
    </w:p>
    <w:p>
      <w:pPr>
        <w:spacing w:line="245" w:lineRule="atLeast"/>
        <w:ind w:firstLine="1890" w:firstLineChars="900"/>
        <w:jc w:val="both"/>
        <w:rPr>
          <w:rFonts w:ascii="Arial" w:hAnsi="Arial" w:cs="Arial"/>
          <w:i/>
          <w:sz w:val="21"/>
          <w:szCs w:val="21"/>
        </w:rPr>
      </w:pPr>
      <w:r>
        <w:rPr>
          <w:rFonts w:ascii="Arial" w:hAnsi="Arial" w:cs="Arial"/>
          <w:i/>
          <w:sz w:val="21"/>
          <w:szCs w:val="21"/>
        </w:rPr>
        <w:t>-某著名汽车技术中心</w:t>
      </w:r>
    </w:p>
    <w:p>
      <w:pPr>
        <w:spacing w:line="245" w:lineRule="atLeas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“我第一次听到DFMEA讲得这么好！” </w:t>
      </w:r>
    </w:p>
    <w:p>
      <w:pPr>
        <w:spacing w:line="245" w:lineRule="atLeast"/>
        <w:ind w:firstLine="1785" w:firstLineChars="850"/>
        <w:jc w:val="both"/>
        <w:rPr>
          <w:rFonts w:ascii="Arial" w:hAnsi="Arial" w:cs="Arial"/>
          <w:i/>
          <w:sz w:val="21"/>
          <w:szCs w:val="21"/>
        </w:rPr>
      </w:pPr>
      <w:r>
        <w:rPr>
          <w:rFonts w:ascii="Arial" w:hAnsi="Arial" w:cs="Arial"/>
          <w:i/>
          <w:sz w:val="21"/>
          <w:szCs w:val="21"/>
        </w:rPr>
        <w:t>-某世界500强汽车零部件企业</w:t>
      </w:r>
    </w:p>
    <w:p>
      <w:pPr>
        <w:spacing w:line="245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“培训为企业有效实施DFMEA给出了行性的解决方法。”</w:t>
      </w:r>
    </w:p>
    <w:p>
      <w:pPr>
        <w:spacing w:line="245" w:lineRule="atLeast"/>
        <w:ind w:firstLine="1850" w:firstLineChars="881"/>
        <w:rPr>
          <w:rFonts w:ascii="Arial" w:hAnsi="Arial" w:cs="Arial"/>
          <w:i/>
          <w:sz w:val="21"/>
          <w:szCs w:val="21"/>
        </w:rPr>
      </w:pPr>
      <w:r>
        <w:rPr>
          <w:rFonts w:ascii="Arial" w:hAnsi="Arial" w:cs="Arial"/>
          <w:i/>
          <w:sz w:val="21"/>
          <w:szCs w:val="21"/>
        </w:rPr>
        <w:t>-某世界500强工业企业（中国）研发中心</w:t>
      </w:r>
    </w:p>
    <w:p>
      <w:pPr>
        <w:spacing w:line="245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“培训生动活泼，互动性很强，特别是用我们自己设计的零件进行练习，学了就能用！”</w:t>
      </w:r>
    </w:p>
    <w:p>
      <w:pPr>
        <w:spacing w:line="245" w:lineRule="atLeast"/>
        <w:ind w:firstLine="1785" w:firstLineChars="850"/>
        <w:rPr>
          <w:rFonts w:ascii="Arial" w:hAnsi="Arial" w:cs="Arial"/>
          <w:i/>
          <w:sz w:val="21"/>
          <w:szCs w:val="21"/>
        </w:rPr>
      </w:pPr>
      <w:r>
        <w:rPr>
          <w:rFonts w:ascii="Arial" w:hAnsi="Arial" w:cs="Arial"/>
          <w:i/>
          <w:sz w:val="21"/>
          <w:szCs w:val="21"/>
        </w:rPr>
        <w:t>-某世界500强电子企业</w:t>
      </w: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hint="eastAsia"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245" w:lineRule="atLeast"/>
        <w:rPr>
          <w:rFonts w:ascii="Arial" w:hAnsi="Arial" w:cs="Arial"/>
          <w:b/>
          <w:bCs/>
          <w:color w:val="094F2A"/>
          <w:sz w:val="22"/>
          <w:szCs w:val="22"/>
        </w:rPr>
      </w:pPr>
    </w:p>
    <w:p>
      <w:pPr>
        <w:spacing w:line="360" w:lineRule="auto"/>
        <w:rPr>
          <w:rFonts w:hint="eastAsia" w:ascii="Arial" w:hAnsi="Arial" w:cs="Arial"/>
          <w:bCs/>
          <w:szCs w:val="2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16" w:bottom="935" w:left="1800" w:header="851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rdiaUPC">
    <w:altName w:val="Leelawadee UI"/>
    <w:panose1 w:val="00000000000000000000"/>
    <w:charset w:val="DE"/>
    <w:family w:val="swiss"/>
    <w:pitch w:val="default"/>
    <w:sig w:usb0="00000000" w:usb1="00000000" w:usb2="00000000" w:usb3="00000000" w:csb0="0001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320"/>
        <w:tab w:val="right" w:pos="8640"/>
      </w:tabs>
      <w:rPr>
        <w:rFonts w:hint="eastAsia" w:ascii="Arial" w:hAnsi="Arial" w:cs="Arial"/>
        <w:color w:val="0000FF"/>
        <w:sz w:val="16"/>
        <w:szCs w:val="16"/>
      </w:rPr>
    </w:pPr>
    <w:r>
      <w:rPr>
        <w:rFonts w:ascii="Arial" w:hAnsi="Arial" w:cs="Aria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-168275</wp:posOffset>
              </wp:positionH>
              <wp:positionV relativeFrom="paragraph">
                <wp:posOffset>102235</wp:posOffset>
              </wp:positionV>
              <wp:extent cx="6226175" cy="0"/>
              <wp:effectExtent l="0" t="0" r="0" b="0"/>
              <wp:wrapNone/>
              <wp:docPr id="55" name="直线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26175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9" o:spid="_x0000_s1026" o:spt="20" style="position:absolute;left:0pt;margin-left:-13.25pt;margin-top:8.05pt;height:0pt;width:490.25pt;z-index:251659264;mso-width-relative:page;mso-height-relative:page;" filled="f" stroked="t" coordsize="21600,21600" o:gfxdata="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tiDI1dYA&#10;AAAJAQAADwAAAAAAAAABACAAAAAiAAAAZHJzL2Rvd25yZXYueG1sUEsBAhQAFAAAAAgAh07iQOyr&#10;cCDoAQAA3AMAAA4AAAAAAAAAAQAgAAAAJQEAAGRycy9lMm9Eb2MueG1sUEsFBgAAAAAGAAYAWQEA&#10;AH8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  <w:p>
    <w:pPr>
      <w:tabs>
        <w:tab w:val="center" w:pos="4680"/>
        <w:tab w:val="right" w:pos="9180"/>
      </w:tabs>
      <w:jc w:val="center"/>
      <w:rPr>
        <w:rFonts w:hint="eastAsia" w:ascii="Arial" w:hAnsi="Arial" w:cs="Arial"/>
        <w:sz w:val="21"/>
        <w:szCs w:val="21"/>
      </w:rPr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>/</w:t>
    </w:r>
    <w:r>
      <w:fldChar w:fldCharType="begin"/>
    </w:r>
    <w:r>
      <w:instrText xml:space="preserve"> NUMPAGES </w:instrText>
    </w:r>
    <w:r>
      <w:fldChar w:fldCharType="separate"/>
    </w:r>
    <w:r>
      <w:t>8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DA3E3A"/>
    <w:multiLevelType w:val="multilevel"/>
    <w:tmpl w:val="13DA3E3A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BF92CB0"/>
    <w:multiLevelType w:val="multilevel"/>
    <w:tmpl w:val="2BF92CB0"/>
    <w:lvl w:ilvl="0" w:tentative="0">
      <w:start w:val="1"/>
      <w:numFmt w:val="bullet"/>
      <w:lvlText w:val=""/>
      <w:lvlJc w:val="left"/>
      <w:pPr>
        <w:tabs>
          <w:tab w:val="left" w:pos="660"/>
        </w:tabs>
        <w:ind w:left="66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140"/>
        </w:tabs>
        <w:ind w:left="114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20"/>
        </w:tabs>
        <w:ind w:left="162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0"/>
        </w:tabs>
        <w:ind w:left="258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60"/>
        </w:tabs>
        <w:ind w:left="306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540"/>
        </w:tabs>
        <w:ind w:left="354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020"/>
        </w:tabs>
        <w:ind w:left="402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500"/>
        </w:tabs>
        <w:ind w:left="4500" w:hanging="480"/>
      </w:pPr>
      <w:rPr>
        <w:rFonts w:hint="default" w:ascii="Wingdings" w:hAnsi="Wingdings"/>
      </w:rPr>
    </w:lvl>
  </w:abstractNum>
  <w:abstractNum w:abstractNumId="2">
    <w:nsid w:val="372D02CF"/>
    <w:multiLevelType w:val="multilevel"/>
    <w:tmpl w:val="372D02CF"/>
    <w:lvl w:ilvl="0" w:tentative="0">
      <w:start w:val="1"/>
      <w:numFmt w:val="decimal"/>
      <w:lvlText w:val="%1、"/>
      <w:lvlJc w:val="left"/>
      <w:pPr>
        <w:tabs>
          <w:tab w:val="left" w:pos="466"/>
        </w:tabs>
        <w:ind w:left="466" w:hanging="360"/>
      </w:pPr>
      <w:rPr>
        <w:rFonts w:hint="default" w:hAnsi="Arial"/>
      </w:rPr>
    </w:lvl>
    <w:lvl w:ilvl="1" w:tentative="0">
      <w:start w:val="1"/>
      <w:numFmt w:val="lowerLetter"/>
      <w:lvlText w:val="%2)"/>
      <w:lvlJc w:val="left"/>
      <w:pPr>
        <w:tabs>
          <w:tab w:val="left" w:pos="946"/>
        </w:tabs>
        <w:ind w:left="94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366"/>
        </w:tabs>
        <w:ind w:left="1366" w:hanging="420"/>
      </w:pPr>
    </w:lvl>
    <w:lvl w:ilvl="3" w:tentative="0">
      <w:start w:val="1"/>
      <w:numFmt w:val="decimal"/>
      <w:lvlText w:val="%4."/>
      <w:lvlJc w:val="left"/>
      <w:pPr>
        <w:tabs>
          <w:tab w:val="left" w:pos="1786"/>
        </w:tabs>
        <w:ind w:left="178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06"/>
        </w:tabs>
        <w:ind w:left="220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26"/>
        </w:tabs>
        <w:ind w:left="2626" w:hanging="420"/>
      </w:pPr>
    </w:lvl>
    <w:lvl w:ilvl="6" w:tentative="0">
      <w:start w:val="1"/>
      <w:numFmt w:val="decimal"/>
      <w:lvlText w:val="%7."/>
      <w:lvlJc w:val="left"/>
      <w:pPr>
        <w:tabs>
          <w:tab w:val="left" w:pos="3046"/>
        </w:tabs>
        <w:ind w:left="304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66"/>
        </w:tabs>
        <w:ind w:left="346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86"/>
        </w:tabs>
        <w:ind w:left="3886" w:hanging="420"/>
      </w:pPr>
    </w:lvl>
  </w:abstractNum>
  <w:abstractNum w:abstractNumId="3">
    <w:nsid w:val="41FB0DDD"/>
    <w:multiLevelType w:val="multilevel"/>
    <w:tmpl w:val="41FB0DDD"/>
    <w:lvl w:ilvl="0" w:tentative="0">
      <w:start w:val="1"/>
      <w:numFmt w:val="bullet"/>
      <w:lvlText w:val=""/>
      <w:lvlJc w:val="left"/>
      <w:pPr>
        <w:tabs>
          <w:tab w:val="left" w:pos="530"/>
        </w:tabs>
        <w:ind w:left="53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950"/>
        </w:tabs>
        <w:ind w:left="9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370"/>
        </w:tabs>
        <w:ind w:left="13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790"/>
        </w:tabs>
        <w:ind w:left="17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210"/>
        </w:tabs>
        <w:ind w:left="22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630"/>
        </w:tabs>
        <w:ind w:left="26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050"/>
        </w:tabs>
        <w:ind w:left="30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470"/>
        </w:tabs>
        <w:ind w:left="34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890"/>
        </w:tabs>
        <w:ind w:left="3890" w:hanging="420"/>
      </w:pPr>
      <w:rPr>
        <w:rFonts w:hint="default" w:ascii="Wingdings" w:hAnsi="Wingdings"/>
      </w:rPr>
    </w:lvl>
  </w:abstractNum>
  <w:abstractNum w:abstractNumId="4">
    <w:nsid w:val="75F21F05"/>
    <w:multiLevelType w:val="multilevel"/>
    <w:tmpl w:val="75F21F05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00987BDC"/>
    <w:rsid w:val="000019C3"/>
    <w:rsid w:val="00017302"/>
    <w:rsid w:val="00024863"/>
    <w:rsid w:val="00037473"/>
    <w:rsid w:val="00041407"/>
    <w:rsid w:val="00047EE6"/>
    <w:rsid w:val="000529B0"/>
    <w:rsid w:val="000578A7"/>
    <w:rsid w:val="00071E88"/>
    <w:rsid w:val="0009035F"/>
    <w:rsid w:val="0009324F"/>
    <w:rsid w:val="000B3C00"/>
    <w:rsid w:val="000D7963"/>
    <w:rsid w:val="000E1D51"/>
    <w:rsid w:val="000E4707"/>
    <w:rsid w:val="000F5AB6"/>
    <w:rsid w:val="000F688A"/>
    <w:rsid w:val="00104CA5"/>
    <w:rsid w:val="00113C0B"/>
    <w:rsid w:val="001168D1"/>
    <w:rsid w:val="00134A51"/>
    <w:rsid w:val="00135413"/>
    <w:rsid w:val="00141DC2"/>
    <w:rsid w:val="00142B59"/>
    <w:rsid w:val="0015592D"/>
    <w:rsid w:val="00165A3F"/>
    <w:rsid w:val="00171E56"/>
    <w:rsid w:val="0017357D"/>
    <w:rsid w:val="00174826"/>
    <w:rsid w:val="00180207"/>
    <w:rsid w:val="0018057F"/>
    <w:rsid w:val="00194C41"/>
    <w:rsid w:val="00194E75"/>
    <w:rsid w:val="001A110F"/>
    <w:rsid w:val="001A5FB9"/>
    <w:rsid w:val="001B2974"/>
    <w:rsid w:val="001B3729"/>
    <w:rsid w:val="001C1ACE"/>
    <w:rsid w:val="001E185B"/>
    <w:rsid w:val="001E4EE3"/>
    <w:rsid w:val="001E55FF"/>
    <w:rsid w:val="001F7D84"/>
    <w:rsid w:val="00212FBB"/>
    <w:rsid w:val="00213A99"/>
    <w:rsid w:val="00215DBC"/>
    <w:rsid w:val="0023335D"/>
    <w:rsid w:val="00242A1F"/>
    <w:rsid w:val="00242D60"/>
    <w:rsid w:val="00245C93"/>
    <w:rsid w:val="00251EC2"/>
    <w:rsid w:val="00254246"/>
    <w:rsid w:val="00257694"/>
    <w:rsid w:val="002634E4"/>
    <w:rsid w:val="00264CB4"/>
    <w:rsid w:val="002774B9"/>
    <w:rsid w:val="00282A80"/>
    <w:rsid w:val="002900F5"/>
    <w:rsid w:val="002B02B9"/>
    <w:rsid w:val="002B1D39"/>
    <w:rsid w:val="002C08B2"/>
    <w:rsid w:val="002D62A6"/>
    <w:rsid w:val="002E778C"/>
    <w:rsid w:val="002F0AE3"/>
    <w:rsid w:val="002F141E"/>
    <w:rsid w:val="002F2F9C"/>
    <w:rsid w:val="0030034E"/>
    <w:rsid w:val="003003A7"/>
    <w:rsid w:val="00300BE4"/>
    <w:rsid w:val="00307B98"/>
    <w:rsid w:val="00317168"/>
    <w:rsid w:val="00321F65"/>
    <w:rsid w:val="00334999"/>
    <w:rsid w:val="003379F1"/>
    <w:rsid w:val="0035759E"/>
    <w:rsid w:val="00360F0E"/>
    <w:rsid w:val="00376458"/>
    <w:rsid w:val="0037681F"/>
    <w:rsid w:val="00376ADD"/>
    <w:rsid w:val="00380EFA"/>
    <w:rsid w:val="00382333"/>
    <w:rsid w:val="00383E11"/>
    <w:rsid w:val="003841B6"/>
    <w:rsid w:val="00395DE6"/>
    <w:rsid w:val="0039701C"/>
    <w:rsid w:val="003A28D8"/>
    <w:rsid w:val="003C26C4"/>
    <w:rsid w:val="003C3CDD"/>
    <w:rsid w:val="003C7907"/>
    <w:rsid w:val="003E7D7A"/>
    <w:rsid w:val="003F3103"/>
    <w:rsid w:val="0041371D"/>
    <w:rsid w:val="004234A9"/>
    <w:rsid w:val="00425DCC"/>
    <w:rsid w:val="0042739D"/>
    <w:rsid w:val="0042770C"/>
    <w:rsid w:val="004353DB"/>
    <w:rsid w:val="0044748D"/>
    <w:rsid w:val="00450542"/>
    <w:rsid w:val="00481763"/>
    <w:rsid w:val="00486924"/>
    <w:rsid w:val="00491717"/>
    <w:rsid w:val="004923AD"/>
    <w:rsid w:val="004A1159"/>
    <w:rsid w:val="004A163B"/>
    <w:rsid w:val="004C289D"/>
    <w:rsid w:val="004C28AE"/>
    <w:rsid w:val="004C2BA9"/>
    <w:rsid w:val="004C7FB0"/>
    <w:rsid w:val="004E1D04"/>
    <w:rsid w:val="004E6715"/>
    <w:rsid w:val="004F12AF"/>
    <w:rsid w:val="0050454B"/>
    <w:rsid w:val="00513982"/>
    <w:rsid w:val="00514190"/>
    <w:rsid w:val="00521B59"/>
    <w:rsid w:val="00527B38"/>
    <w:rsid w:val="00534D5D"/>
    <w:rsid w:val="005436B3"/>
    <w:rsid w:val="00546286"/>
    <w:rsid w:val="0055437B"/>
    <w:rsid w:val="005557DC"/>
    <w:rsid w:val="0056558F"/>
    <w:rsid w:val="00566676"/>
    <w:rsid w:val="00570C1C"/>
    <w:rsid w:val="00572244"/>
    <w:rsid w:val="00593DD9"/>
    <w:rsid w:val="005A297E"/>
    <w:rsid w:val="005C1D62"/>
    <w:rsid w:val="005D2649"/>
    <w:rsid w:val="005D2D11"/>
    <w:rsid w:val="005D4F7D"/>
    <w:rsid w:val="005D6E15"/>
    <w:rsid w:val="005E1C1B"/>
    <w:rsid w:val="005E2973"/>
    <w:rsid w:val="005E3D83"/>
    <w:rsid w:val="005E5139"/>
    <w:rsid w:val="005F4793"/>
    <w:rsid w:val="005F48AB"/>
    <w:rsid w:val="00602092"/>
    <w:rsid w:val="00605AD5"/>
    <w:rsid w:val="00613F4B"/>
    <w:rsid w:val="00621F1A"/>
    <w:rsid w:val="0062274D"/>
    <w:rsid w:val="0066126B"/>
    <w:rsid w:val="00663384"/>
    <w:rsid w:val="006640BB"/>
    <w:rsid w:val="00671012"/>
    <w:rsid w:val="00676C52"/>
    <w:rsid w:val="00684DD3"/>
    <w:rsid w:val="00690A80"/>
    <w:rsid w:val="00691A3F"/>
    <w:rsid w:val="006955C6"/>
    <w:rsid w:val="006B6665"/>
    <w:rsid w:val="006B7A9F"/>
    <w:rsid w:val="006C25BF"/>
    <w:rsid w:val="006D1B84"/>
    <w:rsid w:val="006E545D"/>
    <w:rsid w:val="006F48C1"/>
    <w:rsid w:val="006F4A0F"/>
    <w:rsid w:val="00700E93"/>
    <w:rsid w:val="00700F5A"/>
    <w:rsid w:val="00703631"/>
    <w:rsid w:val="007047AB"/>
    <w:rsid w:val="00705EF7"/>
    <w:rsid w:val="0071331C"/>
    <w:rsid w:val="00723363"/>
    <w:rsid w:val="00727A18"/>
    <w:rsid w:val="00727F36"/>
    <w:rsid w:val="00732243"/>
    <w:rsid w:val="00734C72"/>
    <w:rsid w:val="00763696"/>
    <w:rsid w:val="0076382F"/>
    <w:rsid w:val="00764DF5"/>
    <w:rsid w:val="0078656A"/>
    <w:rsid w:val="0078713D"/>
    <w:rsid w:val="007A28B7"/>
    <w:rsid w:val="007A435F"/>
    <w:rsid w:val="007A5DFF"/>
    <w:rsid w:val="007A61F8"/>
    <w:rsid w:val="007B6C65"/>
    <w:rsid w:val="007C0A13"/>
    <w:rsid w:val="007C1864"/>
    <w:rsid w:val="007C3127"/>
    <w:rsid w:val="007C4569"/>
    <w:rsid w:val="007F2BBF"/>
    <w:rsid w:val="007F4AB4"/>
    <w:rsid w:val="00817846"/>
    <w:rsid w:val="00823223"/>
    <w:rsid w:val="00823A01"/>
    <w:rsid w:val="00824B98"/>
    <w:rsid w:val="0083090B"/>
    <w:rsid w:val="00830C6E"/>
    <w:rsid w:val="008315B2"/>
    <w:rsid w:val="00833E0F"/>
    <w:rsid w:val="00844403"/>
    <w:rsid w:val="00863801"/>
    <w:rsid w:val="00870FDD"/>
    <w:rsid w:val="008759F7"/>
    <w:rsid w:val="0087641B"/>
    <w:rsid w:val="00884D0F"/>
    <w:rsid w:val="00891683"/>
    <w:rsid w:val="00894A1D"/>
    <w:rsid w:val="00897FD5"/>
    <w:rsid w:val="008A7582"/>
    <w:rsid w:val="008A7DF2"/>
    <w:rsid w:val="008C1493"/>
    <w:rsid w:val="008C3957"/>
    <w:rsid w:val="008D650C"/>
    <w:rsid w:val="008E0EB6"/>
    <w:rsid w:val="008E1E64"/>
    <w:rsid w:val="008E781E"/>
    <w:rsid w:val="008F1554"/>
    <w:rsid w:val="008F25C2"/>
    <w:rsid w:val="00901661"/>
    <w:rsid w:val="009019CB"/>
    <w:rsid w:val="00904910"/>
    <w:rsid w:val="009270E7"/>
    <w:rsid w:val="0093066B"/>
    <w:rsid w:val="00931018"/>
    <w:rsid w:val="00961093"/>
    <w:rsid w:val="009635B4"/>
    <w:rsid w:val="00965570"/>
    <w:rsid w:val="00977E59"/>
    <w:rsid w:val="0098049B"/>
    <w:rsid w:val="00980EA0"/>
    <w:rsid w:val="00985B29"/>
    <w:rsid w:val="00987BDC"/>
    <w:rsid w:val="00991F7D"/>
    <w:rsid w:val="00995AF8"/>
    <w:rsid w:val="009A32DA"/>
    <w:rsid w:val="009A6C40"/>
    <w:rsid w:val="009B4FD3"/>
    <w:rsid w:val="009D439B"/>
    <w:rsid w:val="00A06037"/>
    <w:rsid w:val="00A10EA5"/>
    <w:rsid w:val="00A32283"/>
    <w:rsid w:val="00A416FB"/>
    <w:rsid w:val="00A44139"/>
    <w:rsid w:val="00A4631F"/>
    <w:rsid w:val="00A463DD"/>
    <w:rsid w:val="00A57BFE"/>
    <w:rsid w:val="00A63AB6"/>
    <w:rsid w:val="00A83AF7"/>
    <w:rsid w:val="00A8504D"/>
    <w:rsid w:val="00A96F49"/>
    <w:rsid w:val="00AA19D6"/>
    <w:rsid w:val="00AB0297"/>
    <w:rsid w:val="00AB6834"/>
    <w:rsid w:val="00AD1197"/>
    <w:rsid w:val="00AE17D8"/>
    <w:rsid w:val="00AE51DF"/>
    <w:rsid w:val="00AE6D56"/>
    <w:rsid w:val="00AE6D5D"/>
    <w:rsid w:val="00AF05F7"/>
    <w:rsid w:val="00AF7D2B"/>
    <w:rsid w:val="00B00683"/>
    <w:rsid w:val="00B012C6"/>
    <w:rsid w:val="00B01E36"/>
    <w:rsid w:val="00B035C3"/>
    <w:rsid w:val="00B34592"/>
    <w:rsid w:val="00B4303F"/>
    <w:rsid w:val="00B47AE9"/>
    <w:rsid w:val="00B66F5C"/>
    <w:rsid w:val="00B76427"/>
    <w:rsid w:val="00B80CDF"/>
    <w:rsid w:val="00B86885"/>
    <w:rsid w:val="00B932DA"/>
    <w:rsid w:val="00B9716B"/>
    <w:rsid w:val="00B97322"/>
    <w:rsid w:val="00BA0324"/>
    <w:rsid w:val="00BB3304"/>
    <w:rsid w:val="00BC1E4B"/>
    <w:rsid w:val="00BD4D0C"/>
    <w:rsid w:val="00BE0774"/>
    <w:rsid w:val="00BE2B76"/>
    <w:rsid w:val="00BE2B9F"/>
    <w:rsid w:val="00BF5ECD"/>
    <w:rsid w:val="00C06712"/>
    <w:rsid w:val="00C41D72"/>
    <w:rsid w:val="00C44F3E"/>
    <w:rsid w:val="00C45A48"/>
    <w:rsid w:val="00C555CB"/>
    <w:rsid w:val="00C57CC6"/>
    <w:rsid w:val="00C609F3"/>
    <w:rsid w:val="00C64029"/>
    <w:rsid w:val="00C751A2"/>
    <w:rsid w:val="00C9657B"/>
    <w:rsid w:val="00C97491"/>
    <w:rsid w:val="00CA16A1"/>
    <w:rsid w:val="00CB3F2D"/>
    <w:rsid w:val="00CC1754"/>
    <w:rsid w:val="00CE3274"/>
    <w:rsid w:val="00CE6642"/>
    <w:rsid w:val="00CF77AB"/>
    <w:rsid w:val="00D163BC"/>
    <w:rsid w:val="00D3693D"/>
    <w:rsid w:val="00D3743F"/>
    <w:rsid w:val="00D44927"/>
    <w:rsid w:val="00D52272"/>
    <w:rsid w:val="00D6274D"/>
    <w:rsid w:val="00D84791"/>
    <w:rsid w:val="00D85A12"/>
    <w:rsid w:val="00D87C4A"/>
    <w:rsid w:val="00D9073A"/>
    <w:rsid w:val="00D92925"/>
    <w:rsid w:val="00D9430D"/>
    <w:rsid w:val="00DA001A"/>
    <w:rsid w:val="00DA5996"/>
    <w:rsid w:val="00DB6976"/>
    <w:rsid w:val="00DC1463"/>
    <w:rsid w:val="00DC58F0"/>
    <w:rsid w:val="00DF6B14"/>
    <w:rsid w:val="00DF736E"/>
    <w:rsid w:val="00E01854"/>
    <w:rsid w:val="00E01A9F"/>
    <w:rsid w:val="00E11052"/>
    <w:rsid w:val="00E128B5"/>
    <w:rsid w:val="00E15464"/>
    <w:rsid w:val="00E1743E"/>
    <w:rsid w:val="00E27F34"/>
    <w:rsid w:val="00E337DA"/>
    <w:rsid w:val="00E341FE"/>
    <w:rsid w:val="00E34302"/>
    <w:rsid w:val="00E3632D"/>
    <w:rsid w:val="00E3657D"/>
    <w:rsid w:val="00E3668F"/>
    <w:rsid w:val="00E55E51"/>
    <w:rsid w:val="00E57B75"/>
    <w:rsid w:val="00E6396C"/>
    <w:rsid w:val="00E72E96"/>
    <w:rsid w:val="00E75CE3"/>
    <w:rsid w:val="00E874AD"/>
    <w:rsid w:val="00E93765"/>
    <w:rsid w:val="00EA078C"/>
    <w:rsid w:val="00EA22A3"/>
    <w:rsid w:val="00EB19CD"/>
    <w:rsid w:val="00EB6FA9"/>
    <w:rsid w:val="00ED2800"/>
    <w:rsid w:val="00EE6C65"/>
    <w:rsid w:val="00EE73B5"/>
    <w:rsid w:val="00EF17E4"/>
    <w:rsid w:val="00EF2805"/>
    <w:rsid w:val="00EF36F6"/>
    <w:rsid w:val="00F06E51"/>
    <w:rsid w:val="00F17E9E"/>
    <w:rsid w:val="00F22940"/>
    <w:rsid w:val="00F26474"/>
    <w:rsid w:val="00F43755"/>
    <w:rsid w:val="00F73D9C"/>
    <w:rsid w:val="00F952C6"/>
    <w:rsid w:val="00FA6541"/>
    <w:rsid w:val="00FB2CE8"/>
    <w:rsid w:val="00FB62C6"/>
    <w:rsid w:val="00FC078D"/>
    <w:rsid w:val="00FC1971"/>
    <w:rsid w:val="00FC2849"/>
    <w:rsid w:val="00FC6546"/>
    <w:rsid w:val="00FE5F93"/>
    <w:rsid w:val="00FE7B63"/>
    <w:rsid w:val="65C265F1"/>
    <w:rsid w:val="670E00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ordiaUPC" w:hAnsi="CordiaUPC" w:eastAsia="宋体" w:cs="Times New Roman"/>
      <w:lang w:val="en-US" w:eastAsia="zh-CN" w:bidi="ar-SA"/>
    </w:rPr>
  </w:style>
  <w:style w:type="paragraph" w:styleId="2">
    <w:name w:val="heading 4"/>
    <w:basedOn w:val="1"/>
    <w:qFormat/>
    <w:uiPriority w:val="0"/>
    <w:pPr>
      <w:spacing w:before="77" w:after="77"/>
      <w:ind w:left="321" w:right="321"/>
      <w:outlineLvl w:val="3"/>
    </w:pPr>
    <w:rPr>
      <w:rFonts w:ascii="Verdana" w:hAnsi="Verdana" w:cs="宋体"/>
      <w:b/>
      <w:bCs/>
      <w:color w:val="2C68B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overflowPunct w:val="0"/>
      <w:autoSpaceDE w:val="0"/>
      <w:autoSpaceDN w:val="0"/>
      <w:adjustRightInd w:val="0"/>
      <w:spacing w:after="120"/>
      <w:ind w:left="720"/>
      <w:textAlignment w:val="baseline"/>
    </w:pPr>
    <w:rPr>
      <w:rFonts w:ascii="Arial" w:hAnsi="Arial"/>
      <w:sz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3421</Words>
  <Characters>4678</Characters>
  <Lines>38</Lines>
  <Paragraphs>10</Paragraphs>
  <TotalTime>2</TotalTime>
  <ScaleCrop>false</ScaleCrop>
  <LinksUpToDate>false</LinksUpToDate>
  <CharactersWithSpaces>4788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2020-02-28T11:57:00Z</dcterms:created>
  <dc:creator>FtpDown</dc:creator>
  <cp:lastModifiedBy>蓉儿</cp:lastModifiedBy>
  <cp:lastPrinted>2016-09-21T11:19:00Z</cp:lastPrinted>
  <dcterms:modified xsi:type="dcterms:W3CDTF">2023-12-28T07:14:50Z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7B4FAFFAD2C04530BC5740CEB173590C</vt:lpwstr>
  </property>
</Properties>
</file>