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5" w:lineRule="atLeast"/>
        <w:jc w:val="right"/>
        <w:rPr>
          <w:rFonts w:ascii="Arial" w:hAnsi="Arial" w:cs="Arial"/>
          <w:color w:val="696969"/>
          <w:sz w:val="16"/>
          <w:szCs w:val="16"/>
        </w:rPr>
      </w:pPr>
    </w:p>
    <w:p>
      <w:pPr>
        <w:spacing w:line="245" w:lineRule="atLeast"/>
        <w:jc w:val="right"/>
        <w:rPr>
          <w:rFonts w:ascii="Arial" w:hAnsi="Arial" w:cs="Arial"/>
          <w:color w:val="696969"/>
          <w:sz w:val="16"/>
          <w:szCs w:val="16"/>
        </w:rPr>
      </w:pPr>
    </w:p>
    <w:p>
      <w:pPr>
        <w:spacing w:line="240" w:lineRule="atLeast"/>
        <w:jc w:val="center"/>
        <w:rPr>
          <w:rFonts w:ascii="Arial"/>
          <w:b/>
          <w:sz w:val="48"/>
          <w:szCs w:val="48"/>
        </w:rPr>
      </w:pPr>
      <w:r>
        <w:rPr>
          <w:rFonts w:hint="eastAsia" w:ascii="Arial"/>
          <w:b/>
          <w:sz w:val="48"/>
          <w:szCs w:val="48"/>
        </w:rPr>
        <w:t>A</w:t>
      </w:r>
      <w:r>
        <w:rPr>
          <w:rFonts w:ascii="Arial"/>
          <w:b/>
          <w:sz w:val="48"/>
          <w:szCs w:val="48"/>
        </w:rPr>
        <w:t>IAG-VDA PFMEA</w:t>
      </w:r>
      <w:r>
        <w:rPr>
          <w:rFonts w:hint="eastAsia" w:ascii="Arial"/>
          <w:b/>
          <w:sz w:val="48"/>
          <w:szCs w:val="48"/>
        </w:rPr>
        <w:t>高级应用</w:t>
      </w:r>
    </w:p>
    <w:p>
      <w:pPr>
        <w:spacing w:line="240" w:lineRule="atLeast"/>
        <w:jc w:val="center"/>
        <w:rPr>
          <w:rFonts w:ascii="Arial"/>
          <w:b/>
          <w:color w:val="0000FF"/>
          <w:sz w:val="28"/>
          <w:szCs w:val="36"/>
        </w:rPr>
      </w:pPr>
      <w:r>
        <w:rPr>
          <w:rFonts w:ascii="Arial"/>
          <w:b/>
          <w:color w:val="0000FF"/>
          <w:sz w:val="28"/>
          <w:szCs w:val="36"/>
        </w:rPr>
        <w:t>(Advanced</w:t>
      </w:r>
      <w:r>
        <w:rPr>
          <w:rFonts w:hint="eastAsia" w:ascii="Arial"/>
          <w:b/>
          <w:color w:val="0000FF"/>
          <w:sz w:val="28"/>
          <w:szCs w:val="36"/>
        </w:rPr>
        <w:t xml:space="preserve"> </w:t>
      </w:r>
      <w:r>
        <w:rPr>
          <w:rFonts w:ascii="Arial"/>
          <w:b/>
          <w:color w:val="0000FF"/>
          <w:sz w:val="28"/>
          <w:szCs w:val="36"/>
        </w:rPr>
        <w:t>AIAG-VDA PFMEA Application)</w:t>
      </w:r>
    </w:p>
    <w:p>
      <w:pPr>
        <w:spacing w:line="240" w:lineRule="atLeast"/>
        <w:jc w:val="center"/>
        <w:rPr>
          <w:rFonts w:ascii="Arial"/>
          <w:b/>
          <w:color w:val="0000FF"/>
          <w:sz w:val="36"/>
          <w:szCs w:val="36"/>
        </w:rPr>
      </w:pPr>
      <w:r>
        <w:rPr>
          <w:rFonts w:ascii="Arial"/>
          <w:b/>
          <w:color w:val="FF0000"/>
          <w:sz w:val="28"/>
          <w:szCs w:val="28"/>
        </w:rPr>
        <w:t xml:space="preserve"> </w:t>
      </w:r>
      <w:r>
        <w:rPr>
          <w:rFonts w:hint="eastAsia" w:ascii="Arial"/>
          <w:b/>
          <w:color w:val="FF0000"/>
          <w:sz w:val="28"/>
          <w:szCs w:val="28"/>
        </w:rPr>
        <w:t>2</w:t>
      </w:r>
      <w:r>
        <w:rPr>
          <w:rFonts w:ascii="Arial"/>
          <w:b/>
          <w:color w:val="FF0000"/>
          <w:sz w:val="28"/>
          <w:szCs w:val="28"/>
        </w:rPr>
        <w:t xml:space="preserve"> </w:t>
      </w:r>
      <w:r>
        <w:rPr>
          <w:rFonts w:hint="eastAsia" w:ascii="Arial"/>
          <w:b/>
          <w:color w:val="FF0000"/>
          <w:sz w:val="28"/>
          <w:szCs w:val="28"/>
        </w:rPr>
        <w:t>天Worshop</w:t>
      </w:r>
      <w:r>
        <w:rPr>
          <w:rFonts w:ascii="Arial"/>
          <w:b/>
          <w:color w:val="FF0000"/>
          <w:sz w:val="28"/>
          <w:szCs w:val="28"/>
        </w:rPr>
        <w:t xml:space="preserve">  </w:t>
      </w:r>
      <w:r>
        <w:rPr>
          <w:rFonts w:hint="eastAsia" w:ascii="Arial"/>
          <w:b/>
          <w:color w:val="FF0000"/>
          <w:sz w:val="28"/>
          <w:szCs w:val="28"/>
        </w:rPr>
        <w:t>基于客户实际产品制造工艺的定制课程</w:t>
      </w:r>
    </w:p>
    <w:p>
      <w:pPr>
        <w:spacing w:line="245" w:lineRule="atLeast"/>
        <w:jc w:val="center"/>
        <w:rPr>
          <w:rFonts w:ascii="Arial" w:hAnsi="Arial" w:cs="Arial"/>
        </w:rPr>
      </w:pPr>
      <w:r>
        <w:rPr>
          <w:rFonts w:ascii="Arial" w:hAnsi="Arial" w:cs="Arial"/>
        </w:rPr>
        <w:pict>
          <v:rect id="_x0000_i1025" o:spt="1" style="height:1.5pt;width:415.3pt;" fillcolor="#808080" filled="t" stroked="f" coordsize="21600,21600" o:hr="t" o:hrstd="t" o:hralign="center">
            <v:path/>
            <v:fill on="t" focussize="0,0"/>
            <v:stroke on="f"/>
            <v:imagedata o:title=""/>
            <o:lock v:ext="edit"/>
            <w10:wrap type="none"/>
            <w10:anchorlock/>
          </v:rect>
        </w:pict>
      </w:r>
    </w:p>
    <w:p>
      <w:pPr>
        <w:spacing w:line="360" w:lineRule="auto"/>
        <w:rPr>
          <w:rFonts w:ascii="Arial" w:hAnsi="Arial" w:cs="Arial"/>
          <w:sz w:val="19"/>
          <w:szCs w:val="19"/>
        </w:rPr>
      </w:pPr>
      <w:r>
        <w:rPr>
          <w:rStyle w:val="9"/>
          <w:rFonts w:hint="eastAsia" w:ascii="Arial" w:cs="Arial"/>
          <w:sz w:val="19"/>
          <w:szCs w:val="19"/>
        </w:rPr>
        <w:t>培训目的：</w:t>
      </w:r>
      <w:r>
        <w:rPr>
          <w:rFonts w:hint="eastAsia" w:ascii="Arial" w:cs="Arial"/>
          <w:sz w:val="19"/>
          <w:szCs w:val="19"/>
        </w:rPr>
        <w:t xml:space="preserve">　  </w:t>
      </w:r>
    </w:p>
    <w:p>
      <w:pPr>
        <w:numPr>
          <w:ilvl w:val="0"/>
          <w:numId w:val="1"/>
        </w:numPr>
        <w:spacing w:line="360" w:lineRule="auto"/>
        <w:rPr>
          <w:rFonts w:hint="eastAsia" w:ascii="Arial" w:cs="Arial"/>
          <w:sz w:val="19"/>
          <w:szCs w:val="19"/>
        </w:rPr>
      </w:pPr>
      <w:r>
        <w:rPr>
          <w:rFonts w:hint="eastAsia" w:ascii="Arial" w:cs="Arial"/>
          <w:sz w:val="19"/>
          <w:szCs w:val="19"/>
        </w:rPr>
        <w:t>根据AIAG-VDA最新发布的FMEA(新版)要求，结合丰富的实际应用</w:t>
      </w:r>
      <w:r>
        <w:rPr>
          <w:rFonts w:hint="eastAsia" w:ascii="Arial" w:hAnsi="Arial" w:cs="Arial"/>
          <w:color w:val="000000"/>
          <w:sz w:val="21"/>
          <w:szCs w:val="21"/>
          <w:lang w:val="en-US" w:eastAsia="zh-CN"/>
        </w:rPr>
        <w:t>（</w:t>
      </w:r>
      <w:r>
        <w:rPr>
          <w:rFonts w:hint="eastAsia" w:ascii="Arial" w:hAnsi="Arial" w:cs="Arial"/>
          <w:color w:val="FF0000"/>
          <w:sz w:val="21"/>
          <w:szCs w:val="21"/>
          <w:lang w:val="en-US" w:eastAsia="zh-CN"/>
        </w:rPr>
        <w:t>学员实际负责的生产工艺流程</w:t>
      </w:r>
      <w:r>
        <w:rPr>
          <w:rFonts w:hint="eastAsia" w:ascii="Arial" w:hAnsi="Arial" w:cs="Arial"/>
          <w:color w:val="000000"/>
          <w:sz w:val="21"/>
          <w:szCs w:val="21"/>
          <w:lang w:val="en-US" w:eastAsia="zh-CN"/>
        </w:rPr>
        <w:t>）</w:t>
      </w:r>
      <w:r>
        <w:rPr>
          <w:rFonts w:hint="eastAsia" w:ascii="Arial" w:cs="Arial"/>
          <w:sz w:val="19"/>
          <w:szCs w:val="19"/>
        </w:rPr>
        <w:t>案例，针对性极强地讲解PFMEA内容、要求、内部逻辑、实施步骤和方法；</w:t>
      </w:r>
    </w:p>
    <w:p>
      <w:pPr>
        <w:numPr>
          <w:ilvl w:val="0"/>
          <w:numId w:val="1"/>
        </w:numPr>
        <w:spacing w:line="360" w:lineRule="auto"/>
        <w:rPr>
          <w:rFonts w:hint="eastAsia" w:ascii="Arial" w:cs="Arial"/>
          <w:sz w:val="19"/>
          <w:szCs w:val="19"/>
        </w:rPr>
      </w:pPr>
      <w:r>
        <w:rPr>
          <w:rFonts w:hint="eastAsia" w:ascii="Arial" w:hAnsi="宋体"/>
          <w:sz w:val="21"/>
          <w:szCs w:val="21"/>
        </w:rPr>
        <w:t>包括P</w:t>
      </w:r>
      <w:r>
        <w:rPr>
          <w:rFonts w:ascii="Arial" w:hAnsi="宋体"/>
          <w:sz w:val="21"/>
          <w:szCs w:val="21"/>
        </w:rPr>
        <w:t>FMEA</w:t>
      </w:r>
      <w:r>
        <w:rPr>
          <w:rFonts w:hint="eastAsia" w:ascii="Arial" w:hAnsi="宋体"/>
          <w:sz w:val="21"/>
          <w:szCs w:val="21"/>
        </w:rPr>
        <w:t>表格及内部逻辑和填写要求,过程流程图（Process Flow）</w:t>
      </w:r>
      <w:r>
        <w:rPr>
          <w:rFonts w:ascii="Arial" w:hAnsi="宋体"/>
          <w:sz w:val="21"/>
          <w:szCs w:val="21"/>
        </w:rPr>
        <w:t>、</w:t>
      </w:r>
      <w:r>
        <w:rPr>
          <w:rFonts w:hint="eastAsia" w:ascii="Arial" w:hAnsi="宋体"/>
          <w:sz w:val="21"/>
          <w:szCs w:val="21"/>
        </w:rPr>
        <w:t>过程功能</w:t>
      </w:r>
      <w:r>
        <w:rPr>
          <w:rFonts w:ascii="Arial" w:hAnsi="宋体"/>
          <w:sz w:val="21"/>
          <w:szCs w:val="21"/>
        </w:rPr>
        <w:t>矩阵</w:t>
      </w:r>
      <w:r>
        <w:rPr>
          <w:rFonts w:hint="eastAsia" w:ascii="Arial" w:hAnsi="宋体"/>
          <w:sz w:val="21"/>
          <w:szCs w:val="21"/>
        </w:rPr>
        <w:t>（Process Function Matrix</w:t>
      </w:r>
      <w:r>
        <w:rPr>
          <w:rFonts w:ascii="Arial" w:hAnsi="宋体"/>
          <w:sz w:val="21"/>
          <w:szCs w:val="21"/>
        </w:rPr>
        <w:t>）</w:t>
      </w:r>
      <w:r>
        <w:rPr>
          <w:rFonts w:hint="eastAsia" w:ascii="Arial" w:hAnsi="宋体"/>
          <w:sz w:val="21"/>
          <w:szCs w:val="21"/>
        </w:rPr>
        <w:t>分析</w:t>
      </w:r>
      <w:r>
        <w:rPr>
          <w:rFonts w:ascii="Arial" w:hAnsi="宋体"/>
          <w:sz w:val="21"/>
          <w:szCs w:val="21"/>
        </w:rPr>
        <w:t>、</w:t>
      </w:r>
      <w:r>
        <w:rPr>
          <w:rFonts w:hint="eastAsia" w:ascii="Arial" w:hAnsi="宋体"/>
          <w:sz w:val="21"/>
          <w:szCs w:val="21"/>
        </w:rPr>
        <w:t>不同流程PFMEA</w:t>
      </w:r>
      <w:r>
        <w:rPr>
          <w:rFonts w:ascii="Arial" w:hAnsi="宋体"/>
          <w:sz w:val="21"/>
          <w:szCs w:val="21"/>
        </w:rPr>
        <w:t>之间的</w:t>
      </w:r>
      <w:r>
        <w:rPr>
          <w:rFonts w:hint="eastAsia" w:ascii="Arial" w:hAnsi="宋体"/>
          <w:sz w:val="21"/>
          <w:szCs w:val="21"/>
        </w:rPr>
        <w:t>相互关联,以往失效模式调研和产品特殊特性在P</w:t>
      </w:r>
      <w:r>
        <w:rPr>
          <w:rFonts w:ascii="Arial" w:hAnsi="宋体"/>
          <w:sz w:val="21"/>
          <w:szCs w:val="21"/>
        </w:rPr>
        <w:t>FMEA</w:t>
      </w:r>
      <w:r>
        <w:rPr>
          <w:rFonts w:hint="eastAsia" w:ascii="Arial" w:hAnsi="宋体"/>
          <w:sz w:val="21"/>
          <w:szCs w:val="21"/>
        </w:rPr>
        <w:t>中的传递与落实.</w:t>
      </w:r>
    </w:p>
    <w:p>
      <w:pPr>
        <w:numPr>
          <w:ilvl w:val="0"/>
          <w:numId w:val="1"/>
        </w:numPr>
        <w:spacing w:line="360" w:lineRule="auto"/>
        <w:rPr>
          <w:rFonts w:hint="eastAsia" w:ascii="Arial" w:cs="Arial"/>
          <w:sz w:val="19"/>
          <w:szCs w:val="19"/>
        </w:rPr>
      </w:pPr>
      <w:r>
        <w:rPr>
          <w:rFonts w:hint="eastAsia" w:ascii="Arial" w:cs="Arial"/>
          <w:sz w:val="19"/>
          <w:szCs w:val="19"/>
        </w:rPr>
        <w:t>教授如何利用PFMEA这一质量工具在新产品工艺开发过程中；以及对现有产品关键工艺工程进行持续改进等方面进行潜在失效预防方面的思路、步骤、技巧和验证、推广应用之方法。</w:t>
      </w:r>
    </w:p>
    <w:p>
      <w:pPr>
        <w:numPr>
          <w:ilvl w:val="0"/>
          <w:numId w:val="1"/>
        </w:numPr>
        <w:spacing w:line="360" w:lineRule="auto"/>
        <w:rPr>
          <w:rFonts w:hint="eastAsia" w:ascii="Arial" w:cs="Arial"/>
          <w:sz w:val="19"/>
          <w:szCs w:val="19"/>
        </w:rPr>
      </w:pPr>
      <w:r>
        <w:rPr>
          <w:rFonts w:hint="eastAsia" w:ascii="Arial" w:cs="Arial"/>
          <w:sz w:val="19"/>
          <w:szCs w:val="19"/>
        </w:rPr>
        <w:t>掌握企业推进PFMEA的策略并分享最佳实践，学会如何应用PFMEA进行知识管理，形成企业技术沉淀和长久的技术竞争力。</w:t>
      </w:r>
    </w:p>
    <w:p>
      <w:pPr>
        <w:spacing w:line="360" w:lineRule="auto"/>
        <w:rPr>
          <w:rStyle w:val="9"/>
        </w:rPr>
      </w:pPr>
      <w:r>
        <w:rPr>
          <w:rStyle w:val="9"/>
          <w:rFonts w:hint="eastAsia" w:ascii="Arial" w:cs="Arial"/>
          <w:sz w:val="19"/>
          <w:szCs w:val="19"/>
        </w:rPr>
        <w:t>培训特色：</w:t>
      </w:r>
    </w:p>
    <w:p>
      <w:pPr>
        <w:spacing w:line="360" w:lineRule="auto"/>
        <w:rPr>
          <w:rFonts w:ascii="Arial" w:hAnsi="Arial" w:cs="Arial"/>
          <w:color w:val="0000FF"/>
          <w:sz w:val="21"/>
          <w:szCs w:val="21"/>
          <w:lang w:val="en-US" w:eastAsia="zh-CN"/>
        </w:rPr>
      </w:pPr>
      <w:r>
        <w:rPr>
          <w:rFonts w:ascii="Arial" w:hAnsi="Arial" w:cs="Arial"/>
          <w:b/>
          <w:i/>
          <w:color w:val="0000FF"/>
          <w:sz w:val="19"/>
          <w:szCs w:val="19"/>
        </w:rPr>
        <w:t>(1)</w:t>
      </w:r>
      <w:r>
        <w:rPr>
          <w:rFonts w:hint="eastAsia" w:ascii="Arial" w:cs="Arial"/>
          <w:b/>
          <w:i/>
          <w:color w:val="0000FF"/>
          <w:sz w:val="19"/>
          <w:szCs w:val="19"/>
        </w:rPr>
        <w:t>强调实际应用：</w:t>
      </w:r>
      <w:r>
        <w:rPr>
          <w:rFonts w:hint="eastAsia" w:ascii="Arial" w:cs="Arial"/>
          <w:sz w:val="19"/>
          <w:szCs w:val="19"/>
        </w:rPr>
        <w:t>承诺可以做到直接使用学员负责的零件产品/工艺工程</w:t>
      </w:r>
      <w:r>
        <w:rPr>
          <w:rFonts w:hint="eastAsia" w:ascii="Arial" w:hAnsi="Arial" w:cs="Arial"/>
          <w:color w:val="000000"/>
          <w:sz w:val="21"/>
          <w:szCs w:val="21"/>
          <w:lang w:val="en-US" w:eastAsia="zh-CN"/>
        </w:rPr>
        <w:t>（</w:t>
      </w:r>
      <w:r>
        <w:rPr>
          <w:rFonts w:hint="eastAsia" w:ascii="Arial" w:hAnsi="Arial" w:cs="Arial"/>
          <w:color w:val="FF0000"/>
          <w:sz w:val="21"/>
          <w:szCs w:val="21"/>
          <w:lang w:val="en-US" w:eastAsia="zh-CN"/>
        </w:rPr>
        <w:t>学员实际负责的生产工艺流程</w:t>
      </w:r>
      <w:r>
        <w:rPr>
          <w:rFonts w:hint="eastAsia" w:ascii="Arial" w:hAnsi="Arial" w:cs="Arial"/>
          <w:color w:val="000000"/>
          <w:sz w:val="21"/>
          <w:szCs w:val="21"/>
          <w:lang w:val="en-US" w:eastAsia="zh-CN"/>
        </w:rPr>
        <w:t>）</w:t>
      </w:r>
      <w:r>
        <w:rPr>
          <w:rFonts w:hint="eastAsia" w:ascii="Arial" w:cs="Arial"/>
          <w:sz w:val="19"/>
          <w:szCs w:val="19"/>
        </w:rPr>
        <w:t>进行课堂</w:t>
      </w:r>
      <w:r>
        <w:rPr>
          <w:rFonts w:ascii="Arial" w:hAnsi="Arial" w:cs="Arial"/>
          <w:sz w:val="19"/>
          <w:szCs w:val="19"/>
        </w:rPr>
        <w:t>PFMEA</w:t>
      </w:r>
      <w:r>
        <w:rPr>
          <w:rFonts w:hint="eastAsia" w:ascii="Arial" w:cs="Arial"/>
          <w:sz w:val="19"/>
          <w:szCs w:val="19"/>
        </w:rPr>
        <w:t>练习和点评分析，可以确保学员通过2天的培训，具备独立编写开发出自己产品高质量</w:t>
      </w:r>
      <w:r>
        <w:rPr>
          <w:rFonts w:ascii="Arial" w:hAnsi="Arial" w:cs="Arial"/>
          <w:sz w:val="19"/>
          <w:szCs w:val="19"/>
        </w:rPr>
        <w:t>PFMEA</w:t>
      </w:r>
      <w:r>
        <w:rPr>
          <w:rFonts w:hint="eastAsia" w:ascii="Arial" w:cs="Arial"/>
          <w:sz w:val="19"/>
          <w:szCs w:val="19"/>
        </w:rPr>
        <w:t>的实战能力；</w:t>
      </w:r>
    </w:p>
    <w:p>
      <w:pPr>
        <w:spacing w:line="360" w:lineRule="auto"/>
        <w:rPr>
          <w:rFonts w:ascii="Arial" w:hAnsi="Arial" w:cs="Arial"/>
          <w:sz w:val="19"/>
          <w:szCs w:val="19"/>
        </w:rPr>
      </w:pPr>
      <w:r>
        <w:rPr>
          <w:rFonts w:ascii="Arial" w:hAnsi="Arial" w:cs="Arial"/>
          <w:b/>
          <w:i/>
          <w:color w:val="0000FF"/>
          <w:sz w:val="19"/>
          <w:szCs w:val="19"/>
        </w:rPr>
        <w:t>(2)</w:t>
      </w:r>
      <w:r>
        <w:rPr>
          <w:rFonts w:hint="eastAsia" w:ascii="Arial" w:hAnsi="Arial" w:cs="Arial"/>
          <w:b/>
          <w:i/>
          <w:color w:val="0000FF"/>
          <w:sz w:val="19"/>
          <w:szCs w:val="19"/>
        </w:rPr>
        <w:t>顾问式授课：</w:t>
      </w:r>
      <w:r>
        <w:rPr>
          <w:rFonts w:hint="eastAsia" w:ascii="Arial" w:cs="Arial"/>
          <w:sz w:val="19"/>
          <w:szCs w:val="19"/>
        </w:rPr>
        <w:t>由国际顶尖研发中心具有丰富整车及零部件开发</w:t>
      </w:r>
      <w:r>
        <w:rPr>
          <w:rFonts w:ascii="Arial" w:hAnsi="Arial" w:cs="Arial"/>
          <w:sz w:val="19"/>
          <w:szCs w:val="19"/>
        </w:rPr>
        <w:t>PFMEA</w:t>
      </w:r>
      <w:r>
        <w:rPr>
          <w:rFonts w:hint="eastAsia" w:ascii="Arial" w:hAnsi="Arial" w:cs="Arial"/>
          <w:sz w:val="19"/>
          <w:szCs w:val="19"/>
        </w:rPr>
        <w:t>实际实施应用经验</w:t>
      </w:r>
      <w:r>
        <w:rPr>
          <w:rFonts w:hint="eastAsia" w:ascii="Arial" w:cs="Arial"/>
          <w:sz w:val="19"/>
          <w:szCs w:val="19"/>
        </w:rPr>
        <w:t>的咨询顾问主讲，开放式答疑解惑，做到对任何相关PFMEA的问题，知无不言，言无不尽；</w:t>
      </w:r>
    </w:p>
    <w:p>
      <w:pPr>
        <w:spacing w:line="360" w:lineRule="auto"/>
        <w:rPr>
          <w:rFonts w:ascii="Arial" w:hAnsi="Arial" w:cs="Arial"/>
          <w:sz w:val="19"/>
          <w:szCs w:val="19"/>
        </w:rPr>
      </w:pPr>
      <w:r>
        <w:rPr>
          <w:rFonts w:ascii="Arial" w:hAnsi="Arial" w:cs="Arial"/>
          <w:b/>
          <w:i/>
          <w:color w:val="0000FF"/>
          <w:sz w:val="19"/>
          <w:szCs w:val="19"/>
        </w:rPr>
        <w:t>(3)</w:t>
      </w:r>
      <w:r>
        <w:rPr>
          <w:rFonts w:hint="eastAsia" w:ascii="Arial" w:hAnsi="Arial" w:cs="Arial"/>
          <w:b/>
          <w:i/>
          <w:color w:val="0000FF"/>
          <w:sz w:val="19"/>
          <w:szCs w:val="19"/>
        </w:rPr>
        <w:t>针对性极强：</w:t>
      </w:r>
      <w:r>
        <w:rPr>
          <w:rFonts w:hint="eastAsia" w:ascii="Arial" w:cs="Arial"/>
          <w:sz w:val="19"/>
          <w:szCs w:val="19"/>
        </w:rPr>
        <w:t>系统分析当前企业推进实施</w:t>
      </w:r>
      <w:r>
        <w:rPr>
          <w:rFonts w:ascii="Arial" w:hAnsi="Arial" w:cs="Arial"/>
          <w:sz w:val="19"/>
          <w:szCs w:val="19"/>
        </w:rPr>
        <w:t>PFMEA</w:t>
      </w:r>
      <w:r>
        <w:rPr>
          <w:rFonts w:hint="eastAsia" w:ascii="Arial" w:hAnsi="Arial" w:cs="Arial"/>
          <w:sz w:val="19"/>
          <w:szCs w:val="19"/>
        </w:rPr>
        <w:t>存在的关键问题，</w:t>
      </w:r>
      <w:r>
        <w:rPr>
          <w:rFonts w:hint="eastAsia" w:ascii="Arial" w:cs="Arial"/>
          <w:sz w:val="19"/>
          <w:szCs w:val="19"/>
        </w:rPr>
        <w:t>并提出解决之道和咨询意见；</w:t>
      </w:r>
    </w:p>
    <w:p>
      <w:pPr>
        <w:spacing w:line="360" w:lineRule="auto"/>
        <w:rPr>
          <w:rFonts w:ascii="Arial" w:hAnsi="Arial" w:cs="Arial"/>
          <w:sz w:val="19"/>
          <w:szCs w:val="19"/>
        </w:rPr>
      </w:pPr>
      <w:r>
        <w:rPr>
          <w:rFonts w:ascii="Arial" w:hAnsi="Arial" w:cs="Arial"/>
          <w:b/>
          <w:i/>
          <w:color w:val="0000FF"/>
          <w:sz w:val="19"/>
          <w:szCs w:val="19"/>
        </w:rPr>
        <w:t>(4)</w:t>
      </w:r>
      <w:r>
        <w:rPr>
          <w:rFonts w:hint="eastAsia" w:ascii="Arial" w:hAnsi="Arial" w:cs="Arial"/>
          <w:b/>
          <w:i/>
          <w:color w:val="0000FF"/>
          <w:sz w:val="19"/>
          <w:szCs w:val="19"/>
        </w:rPr>
        <w:t>内容最新颖：</w:t>
      </w:r>
      <w:r>
        <w:rPr>
          <w:rFonts w:hint="eastAsia" w:ascii="Arial" w:cs="Arial"/>
          <w:sz w:val="19"/>
          <w:szCs w:val="19"/>
        </w:rPr>
        <w:t>讲解最新A</w:t>
      </w:r>
      <w:r>
        <w:rPr>
          <w:rFonts w:ascii="Arial" w:cs="Arial"/>
          <w:sz w:val="19"/>
          <w:szCs w:val="19"/>
        </w:rPr>
        <w:t xml:space="preserve">IAG-VDA </w:t>
      </w:r>
      <w:r>
        <w:rPr>
          <w:rFonts w:ascii="Arial" w:hAnsi="Arial" w:cs="Arial"/>
          <w:sz w:val="19"/>
          <w:szCs w:val="19"/>
        </w:rPr>
        <w:t>FMEA</w:t>
      </w:r>
      <w:r>
        <w:rPr>
          <w:rFonts w:hint="eastAsia" w:ascii="Arial" w:cs="Arial"/>
          <w:sz w:val="19"/>
          <w:szCs w:val="19"/>
        </w:rPr>
        <w:t>改进内容如SOD评分、AP策略和多种实用工具方法及表格，极大提高工程师</w:t>
      </w:r>
      <w:r>
        <w:rPr>
          <w:rFonts w:ascii="Arial" w:hAnsi="Arial" w:cs="Arial"/>
          <w:sz w:val="19"/>
          <w:szCs w:val="19"/>
        </w:rPr>
        <w:t>PFMEA</w:t>
      </w:r>
      <w:r>
        <w:rPr>
          <w:rFonts w:hint="eastAsia" w:ascii="Arial" w:cs="Arial"/>
          <w:sz w:val="19"/>
          <w:szCs w:val="19"/>
        </w:rPr>
        <w:t>实际应用水平；</w:t>
      </w:r>
      <w:r>
        <w:rPr>
          <w:rFonts w:ascii="Arial" w:hAnsi="Arial" w:cs="Arial"/>
          <w:sz w:val="19"/>
          <w:szCs w:val="19"/>
        </w:rPr>
        <w:t xml:space="preserve">    </w:t>
      </w:r>
    </w:p>
    <w:p>
      <w:pPr>
        <w:spacing w:line="360" w:lineRule="auto"/>
        <w:rPr>
          <w:rFonts w:hint="eastAsia" w:ascii="Arial" w:cs="Arial"/>
          <w:sz w:val="19"/>
          <w:szCs w:val="19"/>
        </w:rPr>
      </w:pPr>
      <w:r>
        <w:rPr>
          <w:rFonts w:ascii="Arial" w:hAnsi="Arial" w:cs="Arial"/>
          <w:b/>
          <w:i/>
          <w:color w:val="0000FF"/>
          <w:sz w:val="19"/>
          <w:szCs w:val="19"/>
        </w:rPr>
        <w:t>(</w:t>
      </w:r>
      <w:r>
        <w:rPr>
          <w:rFonts w:hint="eastAsia" w:ascii="Arial" w:hAnsi="Arial" w:cs="Arial"/>
          <w:b/>
          <w:i/>
          <w:color w:val="0000FF"/>
          <w:sz w:val="19"/>
          <w:szCs w:val="19"/>
        </w:rPr>
        <w:t>5</w:t>
      </w:r>
      <w:r>
        <w:rPr>
          <w:rFonts w:ascii="Arial" w:hAnsi="Arial" w:cs="Arial"/>
          <w:b/>
          <w:i/>
          <w:color w:val="0000FF"/>
          <w:sz w:val="19"/>
          <w:szCs w:val="19"/>
        </w:rPr>
        <w:t>)FMEA</w:t>
      </w:r>
      <w:r>
        <w:rPr>
          <w:rFonts w:hint="eastAsia" w:ascii="Arial" w:hAnsi="Arial" w:cs="Arial"/>
          <w:b/>
          <w:i/>
          <w:color w:val="0000FF"/>
          <w:sz w:val="19"/>
          <w:szCs w:val="19"/>
        </w:rPr>
        <w:t>意识和文化贯穿始终：</w:t>
      </w:r>
      <w:r>
        <w:rPr>
          <w:rFonts w:hint="eastAsia" w:ascii="Arial" w:cs="Arial"/>
          <w:sz w:val="19"/>
          <w:szCs w:val="19"/>
        </w:rPr>
        <w:t>分享咨询顾问长期在企业实施</w:t>
      </w:r>
      <w:r>
        <w:rPr>
          <w:rFonts w:ascii="Arial" w:hAnsi="Arial" w:cs="Arial"/>
          <w:sz w:val="19"/>
          <w:szCs w:val="19"/>
        </w:rPr>
        <w:t>PFMEA</w:t>
      </w:r>
      <w:r>
        <w:rPr>
          <w:rFonts w:hint="eastAsia" w:ascii="Arial" w:hAnsi="Arial" w:cs="Arial"/>
          <w:sz w:val="19"/>
          <w:szCs w:val="19"/>
        </w:rPr>
        <w:t>的最佳</w:t>
      </w:r>
      <w:r>
        <w:rPr>
          <w:rFonts w:hint="eastAsia" w:ascii="Arial" w:cs="Arial"/>
          <w:sz w:val="19"/>
          <w:szCs w:val="19"/>
        </w:rPr>
        <w:t>实践经验</w:t>
      </w:r>
      <w:r>
        <w:rPr>
          <w:rFonts w:ascii="Arial" w:hAnsi="Arial" w:cs="Arial"/>
          <w:sz w:val="19"/>
          <w:szCs w:val="19"/>
        </w:rPr>
        <w:t>,</w:t>
      </w:r>
      <w:r>
        <w:rPr>
          <w:rFonts w:hint="eastAsia" w:ascii="Arial" w:cs="Arial"/>
          <w:sz w:val="19"/>
          <w:szCs w:val="19"/>
        </w:rPr>
        <w:t>把失效预防融入工程师意识和日常习惯，并整合进产品开发流程，上升为企业行为进行全面失效预防和知识管理。</w:t>
      </w:r>
    </w:p>
    <w:p>
      <w:pPr>
        <w:spacing w:line="480" w:lineRule="auto"/>
        <w:ind w:left="180"/>
        <w:rPr>
          <w:rFonts w:hint="eastAsia" w:ascii="Arial" w:hAnsi="Arial" w:cs="Arial"/>
          <w:b/>
          <w:sz w:val="21"/>
          <w:szCs w:val="21"/>
        </w:rPr>
      </w:pPr>
    </w:p>
    <w:p>
      <w:pPr>
        <w:ind w:left="180"/>
        <w:rPr>
          <w:rFonts w:hint="eastAsia" w:ascii="Arial" w:hAnsi="Arial" w:cs="Arial"/>
          <w:b/>
          <w:sz w:val="21"/>
          <w:szCs w:val="21"/>
        </w:rPr>
      </w:pPr>
    </w:p>
    <w:p>
      <w:pPr>
        <w:ind w:left="180"/>
        <w:rPr>
          <w:rFonts w:hint="eastAsia" w:ascii="Arial" w:hAnsi="Arial" w:cs="Arial"/>
          <w:b/>
          <w:sz w:val="21"/>
          <w:szCs w:val="21"/>
        </w:rPr>
      </w:pPr>
    </w:p>
    <w:p>
      <w:pPr>
        <w:ind w:left="180"/>
        <w:rPr>
          <w:rFonts w:hint="eastAsia" w:ascii="Arial" w:hAnsi="Arial" w:cs="Arial"/>
          <w:b/>
          <w:sz w:val="21"/>
          <w:szCs w:val="21"/>
        </w:rPr>
      </w:pPr>
    </w:p>
    <w:p>
      <w:pPr>
        <w:ind w:left="180"/>
        <w:rPr>
          <w:rFonts w:hint="eastAsia" w:ascii="Arial" w:hAnsi="Arial" w:cs="Arial"/>
          <w:b/>
          <w:sz w:val="21"/>
          <w:szCs w:val="21"/>
        </w:rPr>
      </w:pPr>
    </w:p>
    <w:p>
      <w:pPr>
        <w:ind w:left="180"/>
        <w:rPr>
          <w:rFonts w:hint="eastAsia" w:ascii="Arial" w:hAnsi="Arial" w:cs="Arial"/>
          <w:b/>
          <w:sz w:val="21"/>
          <w:szCs w:val="21"/>
        </w:rPr>
      </w:pPr>
    </w:p>
    <w:p>
      <w:pPr>
        <w:spacing w:line="276" w:lineRule="auto"/>
        <w:ind w:left="180"/>
        <w:rPr>
          <w:rFonts w:hint="eastAsia" w:ascii="Arial" w:hAnsi="Arial" w:cs="Arial"/>
          <w:b/>
          <w:sz w:val="21"/>
          <w:szCs w:val="21"/>
        </w:rPr>
      </w:pPr>
      <w:r>
        <w:rPr>
          <w:rFonts w:hint="eastAsia" w:ascii="Arial" w:hAnsi="Arial" w:cs="Arial"/>
          <w:b/>
          <w:sz w:val="21"/>
          <w:szCs w:val="21"/>
        </w:rPr>
        <w:t>中国企业设计失效预防PFMEA实施现状</w:t>
      </w:r>
    </w:p>
    <w:p>
      <w:pPr>
        <w:spacing w:line="276" w:lineRule="auto"/>
        <w:ind w:left="180"/>
        <w:rPr>
          <w:rFonts w:hint="eastAsia" w:ascii="Arial" w:cs="Arial"/>
          <w:bCs/>
          <w:sz w:val="21"/>
          <w:szCs w:val="21"/>
        </w:rPr>
      </w:pPr>
    </w:p>
    <w:p>
      <w:pPr>
        <w:widowControl w:val="0"/>
        <w:numPr>
          <w:ilvl w:val="0"/>
          <w:numId w:val="2"/>
        </w:numPr>
        <w:spacing w:line="276" w:lineRule="auto"/>
        <w:rPr>
          <w:rFonts w:ascii="Arial" w:hAnsi="Arial" w:cs="Arial"/>
          <w:bCs/>
          <w:sz w:val="21"/>
          <w:szCs w:val="21"/>
        </w:rPr>
      </w:pPr>
      <w:r>
        <w:rPr>
          <w:rFonts w:ascii="Arial" w:hAnsi="Arial" w:cs="Arial"/>
          <w:bCs/>
          <w:sz w:val="21"/>
          <w:szCs w:val="21"/>
        </w:rPr>
        <w:t>几乎每家质量方面咨询公司都会帮顾客做FMEA</w:t>
      </w:r>
      <w:r>
        <w:rPr>
          <w:rFonts w:ascii="Arial" w:hAnsi="Arial" w:cs="Arial"/>
          <w:sz w:val="21"/>
          <w:szCs w:val="21"/>
        </w:rPr>
        <w:t>（潜在失效模式和影响分析）</w:t>
      </w:r>
      <w:r>
        <w:rPr>
          <w:rFonts w:ascii="Arial" w:hAnsi="Arial" w:cs="Arial"/>
          <w:bCs/>
          <w:sz w:val="21"/>
          <w:szCs w:val="21"/>
        </w:rPr>
        <w:t>培训项目，</w:t>
      </w:r>
      <w:r>
        <w:rPr>
          <w:rFonts w:ascii="Arial" w:hAnsi="Arial" w:cs="Arial"/>
          <w:sz w:val="21"/>
          <w:szCs w:val="21"/>
        </w:rPr>
        <w:t>然而只有极少数的案子有皆大欢</w:t>
      </w:r>
      <w:r>
        <w:rPr>
          <w:rFonts w:ascii="Arial" w:hAnsi="Arial" w:cs="Arial"/>
          <w:bCs/>
          <w:sz w:val="21"/>
          <w:szCs w:val="21"/>
        </w:rPr>
        <w:t>喜的结局。即使顺利结案了，被培训完后有半数以上的企业自己做了一段时间后就发现FMEA象“鸡肋”</w:t>
      </w:r>
      <w:r>
        <w:rPr>
          <w:rFonts w:hint="eastAsia" w:ascii="Arial" w:hAnsi="Arial" w:cs="Arial"/>
          <w:bCs/>
          <w:sz w:val="21"/>
          <w:szCs w:val="21"/>
        </w:rPr>
        <w:t>，</w:t>
      </w:r>
      <w:r>
        <w:rPr>
          <w:rFonts w:ascii="Arial" w:hAnsi="Arial" w:cs="Arial"/>
          <w:bCs/>
          <w:sz w:val="21"/>
          <w:szCs w:val="21"/>
        </w:rPr>
        <w:t>”</w:t>
      </w:r>
      <w:r>
        <w:rPr>
          <w:rFonts w:hint="eastAsia" w:ascii="Arial" w:hAnsi="Arial" w:cs="Arial"/>
          <w:bCs/>
          <w:sz w:val="21"/>
          <w:szCs w:val="21"/>
        </w:rPr>
        <w:t>食之无味，弃之可惜</w:t>
      </w:r>
      <w:r>
        <w:rPr>
          <w:rFonts w:ascii="Arial" w:hAnsi="Arial" w:cs="Arial"/>
          <w:bCs/>
          <w:sz w:val="21"/>
          <w:szCs w:val="21"/>
        </w:rPr>
        <w:t>”！</w:t>
      </w:r>
    </w:p>
    <w:p>
      <w:pPr>
        <w:widowControl w:val="0"/>
        <w:numPr>
          <w:ilvl w:val="0"/>
          <w:numId w:val="2"/>
        </w:numPr>
        <w:spacing w:line="276" w:lineRule="auto"/>
        <w:rPr>
          <w:rFonts w:ascii="Arial" w:hAnsi="Arial" w:cs="Arial"/>
          <w:bCs/>
          <w:sz w:val="21"/>
          <w:szCs w:val="21"/>
        </w:rPr>
      </w:pPr>
      <w:r>
        <w:rPr>
          <w:rFonts w:ascii="Arial" w:hAnsi="Arial" w:cs="Arial"/>
          <w:sz w:val="21"/>
          <w:szCs w:val="21"/>
        </w:rPr>
        <w:t>几乎每家汽车行业或涉足汽车行业的公司，无论是整车厂还是零部件供应商都会要求或被要求做FMEA</w:t>
      </w:r>
      <w:r>
        <w:rPr>
          <w:rFonts w:ascii="Arial" w:hAnsi="Arial" w:cs="Arial"/>
          <w:bCs/>
          <w:sz w:val="21"/>
          <w:szCs w:val="21"/>
        </w:rPr>
        <w:t>（潜在失效模式和影响分析），然而却很少有企业真正从中受益！</w:t>
      </w:r>
    </w:p>
    <w:p>
      <w:pPr>
        <w:widowControl w:val="0"/>
        <w:numPr>
          <w:ilvl w:val="0"/>
          <w:numId w:val="2"/>
        </w:numPr>
        <w:spacing w:line="276" w:lineRule="auto"/>
        <w:rPr>
          <w:rFonts w:ascii="Arial" w:hAnsi="Arial" w:cs="Arial"/>
          <w:bCs/>
          <w:sz w:val="21"/>
          <w:szCs w:val="21"/>
        </w:rPr>
      </w:pPr>
      <w:r>
        <w:rPr>
          <w:rFonts w:ascii="Arial" w:hAnsi="Arial" w:cs="Arial"/>
          <w:bCs/>
          <w:sz w:val="21"/>
          <w:szCs w:val="21"/>
        </w:rPr>
        <w:t>据“质量工具应用综合调查”统计，89.4%的中国企业推动FMEA一直都得不到很好的实施成效！</w:t>
      </w:r>
    </w:p>
    <w:p>
      <w:pPr>
        <w:widowControl w:val="0"/>
        <w:numPr>
          <w:ilvl w:val="0"/>
          <w:numId w:val="2"/>
        </w:numPr>
        <w:spacing w:line="276" w:lineRule="auto"/>
        <w:rPr>
          <w:rFonts w:ascii="Arial" w:hAnsi="Arial" w:cs="Arial"/>
          <w:bCs/>
          <w:sz w:val="21"/>
          <w:szCs w:val="21"/>
        </w:rPr>
      </w:pPr>
      <w:r>
        <w:rPr>
          <w:rFonts w:ascii="Arial" w:hAnsi="Arial" w:cs="Arial"/>
          <w:bCs/>
          <w:sz w:val="21"/>
          <w:szCs w:val="21"/>
        </w:rPr>
        <w:t>因此，到目前为止，如何有效进行产品设计和制造的失效预防</w:t>
      </w:r>
      <w:r>
        <w:rPr>
          <w:rFonts w:hint="eastAsia" w:ascii="Arial" w:hAnsi="Arial" w:cs="Arial"/>
          <w:bCs/>
          <w:sz w:val="21"/>
          <w:szCs w:val="21"/>
        </w:rPr>
        <w:t>而不是事后“救火”，</w:t>
      </w:r>
      <w:r>
        <w:rPr>
          <w:rFonts w:ascii="Arial" w:hAnsi="Arial" w:cs="Arial"/>
          <w:bCs/>
          <w:sz w:val="21"/>
          <w:szCs w:val="21"/>
        </w:rPr>
        <w:t>仍然是</w:t>
      </w:r>
      <w:r>
        <w:rPr>
          <w:rFonts w:ascii="Arial" w:hAnsi="Arial" w:cs="Arial"/>
          <w:sz w:val="21"/>
          <w:szCs w:val="21"/>
        </w:rPr>
        <w:t>企业最头痛的问题之一</w:t>
      </w:r>
      <w:r>
        <w:rPr>
          <w:rFonts w:hint="eastAsia" w:ascii="Arial" w:hAnsi="Arial" w:cs="Arial"/>
          <w:sz w:val="21"/>
          <w:szCs w:val="21"/>
        </w:rPr>
        <w:t>。</w:t>
      </w:r>
    </w:p>
    <w:p>
      <w:pPr>
        <w:spacing w:line="276" w:lineRule="auto"/>
        <w:ind w:firstLine="344" w:firstLineChars="163"/>
        <w:rPr>
          <w:rFonts w:hint="eastAsia" w:ascii="Arial" w:hAnsi="Arial" w:cs="Arial"/>
          <w:b/>
          <w:sz w:val="21"/>
          <w:szCs w:val="21"/>
        </w:rPr>
      </w:pPr>
    </w:p>
    <w:p>
      <w:pPr>
        <w:spacing w:line="276" w:lineRule="auto"/>
        <w:ind w:firstLine="344" w:firstLineChars="163"/>
        <w:rPr>
          <w:rFonts w:ascii="Arial" w:hAnsi="Arial" w:cs="Arial"/>
          <w:sz w:val="21"/>
          <w:szCs w:val="21"/>
        </w:rPr>
      </w:pPr>
      <w:r>
        <w:rPr>
          <w:rFonts w:hint="eastAsia" w:ascii="Arial" w:hAnsi="Arial" w:cs="Arial"/>
          <w:b/>
          <w:sz w:val="21"/>
          <w:szCs w:val="21"/>
        </w:rPr>
        <w:t>其实，企业PFMEA是否已成功导入的鉴定标准有二条：</w:t>
      </w:r>
    </w:p>
    <w:p>
      <w:pPr>
        <w:widowControl w:val="0"/>
        <w:numPr>
          <w:ilvl w:val="0"/>
          <w:numId w:val="3"/>
        </w:numPr>
        <w:spacing w:line="276" w:lineRule="auto"/>
        <w:rPr>
          <w:rFonts w:hint="eastAsia" w:ascii="Arial" w:hAnsi="Arial" w:cs="Arial"/>
          <w:sz w:val="21"/>
          <w:szCs w:val="21"/>
        </w:rPr>
      </w:pPr>
      <w:r>
        <w:rPr>
          <w:rFonts w:hint="eastAsia" w:ascii="Arial" w:hAnsi="Arial" w:cs="Arial"/>
          <w:sz w:val="21"/>
          <w:szCs w:val="21"/>
        </w:rPr>
        <w:t xml:space="preserve">PFMEA有没有帮助企业有效进行产品设计及制造的失效预防？-失效预防! </w:t>
      </w:r>
    </w:p>
    <w:p>
      <w:pPr>
        <w:widowControl w:val="0"/>
        <w:numPr>
          <w:ilvl w:val="0"/>
          <w:numId w:val="3"/>
        </w:numPr>
        <w:spacing w:line="276" w:lineRule="auto"/>
        <w:rPr>
          <w:rFonts w:ascii="Arial" w:hAnsi="Arial" w:cs="Arial"/>
          <w:sz w:val="21"/>
          <w:szCs w:val="21"/>
        </w:rPr>
      </w:pPr>
      <w:r>
        <w:rPr>
          <w:rFonts w:hint="eastAsia" w:ascii="Arial" w:hAnsi="Arial" w:cs="Arial"/>
          <w:sz w:val="21"/>
          <w:szCs w:val="21"/>
        </w:rPr>
        <w:t>PFMEA有没有帮助企业进行知识管理形成技术沉淀和长久技术竞争力?-知识管理!</w:t>
      </w:r>
    </w:p>
    <w:p>
      <w:pPr>
        <w:tabs>
          <w:tab w:val="left" w:pos="540"/>
        </w:tabs>
        <w:spacing w:line="276" w:lineRule="auto"/>
        <w:ind w:left="304" w:leftChars="136" w:hanging="32" w:hangingChars="15"/>
        <w:rPr>
          <w:rFonts w:hint="eastAsia" w:ascii="Arial" w:hAnsi="Arial" w:cs="Arial"/>
          <w:b/>
          <w:sz w:val="21"/>
          <w:szCs w:val="21"/>
        </w:rPr>
      </w:pPr>
    </w:p>
    <w:p>
      <w:pPr>
        <w:tabs>
          <w:tab w:val="left" w:pos="540"/>
        </w:tabs>
        <w:spacing w:line="276" w:lineRule="auto"/>
        <w:ind w:left="304" w:leftChars="136" w:hanging="32" w:hangingChars="15"/>
        <w:rPr>
          <w:rFonts w:ascii="Arial" w:hAnsi="Arial" w:cs="Arial"/>
          <w:b/>
          <w:sz w:val="21"/>
          <w:szCs w:val="21"/>
        </w:rPr>
      </w:pPr>
      <w:r>
        <w:rPr>
          <w:rFonts w:hint="eastAsia" w:ascii="Arial" w:hAnsi="Arial" w:cs="Arial"/>
          <w:b/>
          <w:sz w:val="21"/>
          <w:szCs w:val="21"/>
        </w:rPr>
        <w:t>总结下来，PFMEA失败的根本原因有二：</w:t>
      </w:r>
    </w:p>
    <w:p>
      <w:pPr>
        <w:widowControl w:val="0"/>
        <w:numPr>
          <w:ilvl w:val="0"/>
          <w:numId w:val="4"/>
        </w:numPr>
        <w:spacing w:line="276" w:lineRule="auto"/>
        <w:rPr>
          <w:rFonts w:hint="eastAsia" w:ascii="Arial" w:hAnsi="PMingLiU" w:cs="Arial"/>
          <w:bCs/>
          <w:sz w:val="21"/>
          <w:szCs w:val="21"/>
        </w:rPr>
      </w:pPr>
      <w:r>
        <w:rPr>
          <w:rFonts w:hint="eastAsia" w:ascii="Arial" w:hAnsi="PMingLiU" w:cs="Arial"/>
          <w:bCs/>
          <w:sz w:val="21"/>
          <w:szCs w:val="21"/>
        </w:rPr>
        <w:t>PFMEA未跟企业产品开发与制造流程紧密结合, 本应事前预防的PFMEA变成事后演练的</w:t>
      </w:r>
      <w:r>
        <w:rPr>
          <w:rFonts w:ascii="Arial" w:hAnsi="Arial" w:cs="Arial"/>
          <w:bCs/>
          <w:sz w:val="21"/>
          <w:szCs w:val="21"/>
        </w:rPr>
        <w:t>“</w:t>
      </w:r>
      <w:r>
        <w:rPr>
          <w:rFonts w:hint="eastAsia" w:ascii="Arial" w:cs="Arial"/>
          <w:bCs/>
          <w:sz w:val="21"/>
          <w:szCs w:val="21"/>
        </w:rPr>
        <w:t>纸面文章</w:t>
      </w:r>
      <w:r>
        <w:rPr>
          <w:rFonts w:ascii="Arial" w:hAnsi="Arial" w:cs="Arial"/>
          <w:bCs/>
          <w:sz w:val="21"/>
          <w:szCs w:val="21"/>
        </w:rPr>
        <w:t>”</w:t>
      </w:r>
      <w:r>
        <w:rPr>
          <w:rFonts w:hint="eastAsia" w:ascii="Arial" w:hAnsi="Arial" w:cs="Arial"/>
          <w:bCs/>
          <w:sz w:val="21"/>
          <w:szCs w:val="21"/>
        </w:rPr>
        <w:t>。</w:t>
      </w:r>
    </w:p>
    <w:p>
      <w:pPr>
        <w:spacing w:line="276" w:lineRule="auto"/>
        <w:ind w:left="1453" w:leftChars="44" w:hanging="1365" w:hangingChars="650"/>
        <w:rPr>
          <w:rFonts w:hint="eastAsia" w:ascii="Arial" w:hAnsi="Arial" w:cs="Arial"/>
          <w:b/>
          <w:bCs/>
          <w:sz w:val="21"/>
          <w:szCs w:val="21"/>
          <w:u w:val="single"/>
        </w:rPr>
      </w:pPr>
      <w:r>
        <w:rPr>
          <w:rFonts w:hint="eastAsia" w:ascii="Arial" w:hAnsi="Arial" w:cs="Arial"/>
          <w:bCs/>
          <w:sz w:val="21"/>
          <w:szCs w:val="21"/>
        </w:rPr>
        <w:t xml:space="preserve">   </w:t>
      </w:r>
      <w:r>
        <w:rPr>
          <w:rFonts w:hint="eastAsia" w:ascii="Arial" w:hAnsi="Arial" w:cs="Arial"/>
          <w:b/>
          <w:bCs/>
          <w:sz w:val="21"/>
          <w:szCs w:val="21"/>
          <w:u w:val="single"/>
        </w:rPr>
        <w:t>典型症状: 体系“空转”，</w:t>
      </w:r>
      <w:r>
        <w:rPr>
          <w:rFonts w:ascii="Arial" w:hAnsi="Arial" w:cs="Arial"/>
          <w:b/>
          <w:bCs/>
          <w:sz w:val="21"/>
          <w:szCs w:val="21"/>
          <w:u w:val="single"/>
        </w:rPr>
        <w:t>FMEA“</w:t>
      </w:r>
      <w:r>
        <w:rPr>
          <w:rFonts w:hint="eastAsia" w:ascii="Arial" w:hAnsi="Arial" w:cs="Arial"/>
          <w:b/>
          <w:bCs/>
          <w:sz w:val="21"/>
          <w:szCs w:val="21"/>
          <w:u w:val="single"/>
        </w:rPr>
        <w:t>空做”，问题“照来”</w:t>
      </w:r>
    </w:p>
    <w:p>
      <w:pPr>
        <w:spacing w:line="276" w:lineRule="auto"/>
        <w:ind w:left="1284" w:leftChars="642"/>
        <w:rPr>
          <w:rFonts w:hint="eastAsia" w:ascii="Arial" w:hAnsi="Arial" w:cs="Arial"/>
          <w:bCs/>
          <w:sz w:val="21"/>
          <w:szCs w:val="21"/>
        </w:rPr>
      </w:pPr>
      <w:r>
        <w:rPr>
          <w:rFonts w:hint="eastAsia" w:ascii="Arial" w:hAnsi="Arial" w:cs="Arial"/>
          <w:bCs/>
          <w:sz w:val="21"/>
          <w:szCs w:val="21"/>
        </w:rPr>
        <w:t>企业质量体系年年审,年年过。可企业产品质量问题依旧重复出现，吃尽苦头。PFMEA做了4~5年，数百份如同废纸，失效预防还是靠 “天生蛮力”没有章法。</w:t>
      </w:r>
    </w:p>
    <w:p>
      <w:pPr>
        <w:widowControl w:val="0"/>
        <w:numPr>
          <w:ilvl w:val="0"/>
          <w:numId w:val="4"/>
        </w:numPr>
        <w:spacing w:line="276" w:lineRule="auto"/>
        <w:rPr>
          <w:rFonts w:hint="eastAsia" w:ascii="Arial" w:hAnsi="Arial" w:cs="Arial"/>
          <w:bCs/>
          <w:sz w:val="21"/>
          <w:szCs w:val="21"/>
        </w:rPr>
      </w:pPr>
      <w:r>
        <w:rPr>
          <w:rFonts w:hint="eastAsia" w:ascii="Arial" w:hAnsi="Arial" w:cs="Arial"/>
          <w:bCs/>
          <w:sz w:val="21"/>
          <w:szCs w:val="21"/>
        </w:rPr>
        <w:t>工程师并没有真正理解什么是PFMEA，且没有掌握开发高质量PFMEA的方法。</w:t>
      </w:r>
    </w:p>
    <w:p>
      <w:pPr>
        <w:spacing w:line="276" w:lineRule="auto"/>
        <w:ind w:left="1405" w:leftChars="228" w:hanging="949" w:hangingChars="450"/>
        <w:rPr>
          <w:rFonts w:hint="eastAsia" w:ascii="Arial" w:hAnsi="Arial" w:cs="Arial"/>
          <w:b/>
          <w:bCs/>
          <w:sz w:val="21"/>
          <w:szCs w:val="21"/>
          <w:u w:val="single"/>
        </w:rPr>
      </w:pPr>
      <w:r>
        <w:rPr>
          <w:rFonts w:hint="eastAsia" w:ascii="Arial" w:hAnsi="Arial" w:cs="Arial"/>
          <w:b/>
          <w:bCs/>
          <w:sz w:val="21"/>
          <w:szCs w:val="21"/>
          <w:u w:val="single"/>
        </w:rPr>
        <w:t>典型症状: PFMEA做完，工程师自己都不想看第二遍。</w:t>
      </w:r>
    </w:p>
    <w:p>
      <w:pPr>
        <w:spacing w:line="276" w:lineRule="auto"/>
        <w:ind w:left="1284" w:leftChars="642"/>
        <w:rPr>
          <w:rFonts w:hint="eastAsia" w:ascii="Arial" w:hAnsi="Arial" w:cs="Arial"/>
          <w:bCs/>
          <w:sz w:val="21"/>
          <w:szCs w:val="21"/>
        </w:rPr>
      </w:pPr>
      <w:r>
        <w:rPr>
          <w:rFonts w:hint="eastAsia" w:ascii="Arial" w:hAnsi="Arial" w:cs="Arial"/>
          <w:bCs/>
          <w:sz w:val="21"/>
          <w:szCs w:val="21"/>
        </w:rPr>
        <w:t>由于没有理解PFMEA内部的逻辑关系，盲目照搬FMEA手册模版表格，缺乏PFMEA开发的思路和方法，单纯依靠头脑风暴“爬写”，失效模式、后果及原因混淆不清，加之风险评分模棱两可，这样的PFMEA连工程师自己都不想看第二遍，又怎能寄希望于失效预防？</w:t>
      </w:r>
    </w:p>
    <w:p>
      <w:pPr>
        <w:spacing w:line="276" w:lineRule="auto"/>
        <w:ind w:firstLine="342" w:firstLineChars="163"/>
        <w:rPr>
          <w:rFonts w:hint="eastAsia" w:ascii="Arial" w:cs="Arial"/>
          <w:i/>
          <w:color w:val="000080"/>
          <w:sz w:val="21"/>
          <w:szCs w:val="21"/>
        </w:rPr>
      </w:pPr>
      <w:r>
        <w:rPr>
          <w:rFonts w:hint="eastAsia" w:ascii="Arial" w:cs="Arial"/>
          <w:sz w:val="21"/>
          <w:szCs w:val="21"/>
        </w:rPr>
        <w:t>我们的FMEA咨询顾问是在中国企业进行失效预防FMEA实施的亲历亲为者，我们深刻体会和了解中国企业实施PFMEA的困难和期待，我们根据多年在企业咨询服务经验提炼总结面向制造工艺工程师的</w:t>
      </w:r>
      <w:r>
        <w:rPr>
          <w:rFonts w:hint="eastAsia" w:ascii="Arial" w:cs="Arial"/>
          <w:i/>
          <w:color w:val="000080"/>
          <w:sz w:val="21"/>
          <w:szCs w:val="21"/>
        </w:rPr>
        <w:t>《制造部门PFMEA高级应用》。</w:t>
      </w:r>
    </w:p>
    <w:p>
      <w:pPr>
        <w:spacing w:line="276" w:lineRule="auto"/>
        <w:ind w:firstLine="342" w:firstLineChars="163"/>
        <w:rPr>
          <w:rFonts w:hint="eastAsia" w:ascii="Arial" w:cs="Arial"/>
          <w:b/>
          <w:color w:val="FF0000"/>
          <w:sz w:val="21"/>
          <w:szCs w:val="21"/>
          <w:u w:val="single"/>
        </w:rPr>
      </w:pPr>
      <w:r>
        <w:rPr>
          <w:rFonts w:hint="eastAsia" w:ascii="Arial" w:cs="Arial"/>
          <w:sz w:val="21"/>
          <w:szCs w:val="21"/>
        </w:rPr>
        <w:t>我们采用互动性极强的实战培训方式，直接使用学员自己设计的零件产品</w:t>
      </w:r>
      <w:r>
        <w:rPr>
          <w:rFonts w:hint="eastAsia" w:ascii="Arial" w:hAnsi="Arial" w:cs="Arial"/>
          <w:color w:val="000000"/>
          <w:sz w:val="21"/>
          <w:szCs w:val="21"/>
          <w:lang w:val="en-US" w:eastAsia="zh-CN"/>
        </w:rPr>
        <w:t>（</w:t>
      </w:r>
      <w:r>
        <w:rPr>
          <w:rFonts w:hint="eastAsia" w:ascii="Arial" w:hAnsi="Arial" w:cs="Arial"/>
          <w:color w:val="FF0000"/>
          <w:sz w:val="21"/>
          <w:szCs w:val="21"/>
          <w:lang w:val="en-US" w:eastAsia="zh-CN"/>
        </w:rPr>
        <w:t>学员实际负责的生产工艺流程</w:t>
      </w:r>
      <w:r>
        <w:rPr>
          <w:rFonts w:hint="eastAsia" w:ascii="Arial" w:hAnsi="Arial" w:cs="Arial"/>
          <w:color w:val="000000"/>
          <w:sz w:val="21"/>
          <w:szCs w:val="21"/>
          <w:lang w:val="en-US" w:eastAsia="zh-CN"/>
        </w:rPr>
        <w:t>）</w:t>
      </w:r>
      <w:r>
        <w:rPr>
          <w:rFonts w:hint="eastAsia" w:ascii="Arial" w:cs="Arial"/>
          <w:sz w:val="21"/>
          <w:szCs w:val="21"/>
        </w:rPr>
        <w:t>进行课堂PFMEA练习和点评分析，确保学员通过培训，具备独立编写开发出自己产品高质量PFMEA的实战能力。</w:t>
      </w:r>
    </w:p>
    <w:p>
      <w:pPr>
        <w:spacing w:line="276" w:lineRule="auto"/>
        <w:ind w:firstLine="315" w:firstLineChars="150"/>
        <w:rPr>
          <w:rFonts w:hint="eastAsia" w:ascii="Arial" w:cs="Arial"/>
          <w:sz w:val="21"/>
          <w:szCs w:val="21"/>
        </w:rPr>
      </w:pPr>
      <w:r>
        <w:rPr>
          <w:rFonts w:hint="eastAsia" w:ascii="Arial" w:cs="Arial"/>
          <w:sz w:val="21"/>
          <w:szCs w:val="21"/>
        </w:rPr>
        <w:t>您或您的企业如果有任何相关PFMEA的问题，欢迎与我们联系，我们将为您提供实用有效的PFMEA解决方案。</w:t>
      </w:r>
    </w:p>
    <w:p>
      <w:pPr>
        <w:spacing w:line="276" w:lineRule="auto"/>
        <w:ind w:left="178" w:hanging="178" w:hangingChars="85"/>
        <w:jc w:val="center"/>
        <w:rPr>
          <w:rFonts w:hint="eastAsia" w:ascii="Arial" w:cs="Arial"/>
          <w:sz w:val="21"/>
          <w:szCs w:val="21"/>
        </w:rPr>
      </w:pPr>
    </w:p>
    <w:p>
      <w:pPr>
        <w:spacing w:line="360" w:lineRule="auto"/>
        <w:rPr>
          <w:rFonts w:hint="eastAsia" w:ascii="Arial" w:hAnsi="Arial" w:cs="Arial"/>
          <w:b/>
          <w:sz w:val="19"/>
          <w:szCs w:val="19"/>
        </w:rPr>
      </w:pPr>
      <w:r>
        <w:rPr>
          <w:rFonts w:hint="eastAsia" w:ascii="Arial" w:hAnsi="Arial" w:cs="Arial"/>
          <w:b/>
          <w:sz w:val="19"/>
          <w:szCs w:val="19"/>
        </w:rPr>
        <w:t>培训对象：</w:t>
      </w:r>
    </w:p>
    <w:p>
      <w:pPr>
        <w:spacing w:line="360" w:lineRule="auto"/>
        <w:rPr>
          <w:rFonts w:hint="eastAsia" w:ascii="Arial" w:hAnsi="Arial" w:cs="Arial"/>
          <w:sz w:val="19"/>
          <w:szCs w:val="19"/>
        </w:rPr>
      </w:pPr>
      <w:r>
        <w:rPr>
          <w:rFonts w:hint="eastAsia" w:ascii="Arial" w:hAnsi="Arial" w:cs="Arial"/>
          <w:sz w:val="19"/>
          <w:szCs w:val="19"/>
        </w:rPr>
        <w:t>产品设计工程师、产品质量工程师、产品试验工程师、产品开发项目经理、工艺工程师、</w:t>
      </w:r>
      <w:r>
        <w:rPr>
          <w:rFonts w:hint="eastAsia" w:ascii="Arial" w:cs="Arial"/>
          <w:sz w:val="19"/>
          <w:szCs w:val="19"/>
        </w:rPr>
        <w:t>开发设计和质量规划战略决策领导，参与产品</w:t>
      </w:r>
      <w:r>
        <w:rPr>
          <w:rFonts w:ascii="Arial" w:hAnsi="Arial" w:cs="Arial"/>
          <w:sz w:val="19"/>
          <w:szCs w:val="19"/>
        </w:rPr>
        <w:t>/</w:t>
      </w:r>
      <w:r>
        <w:rPr>
          <w:rFonts w:hint="eastAsia" w:ascii="Arial" w:cs="Arial"/>
          <w:sz w:val="19"/>
          <w:szCs w:val="19"/>
        </w:rPr>
        <w:t>服务</w:t>
      </w:r>
      <w:r>
        <w:rPr>
          <w:rFonts w:ascii="Arial" w:hAnsi="Arial" w:cs="Arial"/>
          <w:sz w:val="19"/>
          <w:szCs w:val="19"/>
        </w:rPr>
        <w:t>/</w:t>
      </w:r>
      <w:r>
        <w:rPr>
          <w:rFonts w:hint="eastAsia" w:ascii="Arial" w:cs="Arial"/>
          <w:sz w:val="19"/>
          <w:szCs w:val="19"/>
        </w:rPr>
        <w:t>流程开发设计的开发</w:t>
      </w:r>
      <w:r>
        <w:rPr>
          <w:rFonts w:ascii="Arial" w:hAnsi="Arial" w:cs="Arial"/>
          <w:sz w:val="19"/>
          <w:szCs w:val="19"/>
        </w:rPr>
        <w:t>/</w:t>
      </w:r>
      <w:r>
        <w:rPr>
          <w:rFonts w:hint="eastAsia" w:ascii="Arial" w:cs="Arial"/>
          <w:sz w:val="19"/>
          <w:szCs w:val="19"/>
        </w:rPr>
        <w:t>产品</w:t>
      </w:r>
      <w:r>
        <w:rPr>
          <w:rFonts w:ascii="Arial" w:hAnsi="Arial" w:cs="Arial"/>
          <w:sz w:val="19"/>
          <w:szCs w:val="19"/>
        </w:rPr>
        <w:t>/</w:t>
      </w:r>
      <w:r>
        <w:rPr>
          <w:rFonts w:hint="eastAsia" w:ascii="Arial" w:cs="Arial"/>
          <w:sz w:val="19"/>
          <w:szCs w:val="19"/>
        </w:rPr>
        <w:t>项目经理</w:t>
      </w:r>
      <w:r>
        <w:rPr>
          <w:rFonts w:ascii="Arial" w:hAnsi="Arial" w:cs="Arial"/>
          <w:sz w:val="19"/>
          <w:szCs w:val="19"/>
        </w:rPr>
        <w:t>/</w:t>
      </w:r>
      <w:r>
        <w:rPr>
          <w:rFonts w:hint="eastAsia" w:ascii="Arial" w:cs="Arial"/>
          <w:sz w:val="19"/>
          <w:szCs w:val="19"/>
        </w:rPr>
        <w:t>工程师，六西格玛</w:t>
      </w:r>
      <w:r>
        <w:rPr>
          <w:rFonts w:ascii="Arial" w:hAnsi="Arial" w:cs="Arial"/>
          <w:sz w:val="19"/>
          <w:szCs w:val="19"/>
        </w:rPr>
        <w:t>GB/BB/MBB</w:t>
      </w:r>
      <w:r>
        <w:rPr>
          <w:rFonts w:hint="eastAsia" w:ascii="Arial" w:hAnsi="Arial" w:cs="Arial"/>
          <w:sz w:val="19"/>
          <w:szCs w:val="19"/>
        </w:rPr>
        <w:t>等。</w:t>
      </w:r>
    </w:p>
    <w:p>
      <w:pPr>
        <w:spacing w:line="360" w:lineRule="auto"/>
        <w:rPr>
          <w:rFonts w:hint="eastAsia" w:ascii="Arial" w:hAnsi="Arial" w:cs="Arial"/>
          <w:b/>
          <w:sz w:val="19"/>
          <w:szCs w:val="19"/>
        </w:rPr>
      </w:pPr>
      <w:r>
        <w:rPr>
          <w:rFonts w:hint="eastAsia" w:ascii="Arial" w:hAnsi="Arial" w:cs="Arial"/>
          <w:b/>
          <w:sz w:val="19"/>
          <w:szCs w:val="19"/>
        </w:rPr>
        <w:t>培训方式：</w:t>
      </w:r>
    </w:p>
    <w:p>
      <w:pPr>
        <w:spacing w:line="360" w:lineRule="auto"/>
        <w:rPr>
          <w:rFonts w:hint="eastAsia" w:ascii="Arial" w:hAnsi="Arial" w:cs="Arial"/>
          <w:sz w:val="19"/>
          <w:szCs w:val="19"/>
        </w:rPr>
      </w:pPr>
    </w:p>
    <w:p>
      <w:pPr>
        <w:numPr>
          <w:ilvl w:val="0"/>
          <w:numId w:val="5"/>
        </w:numPr>
        <w:spacing w:line="360" w:lineRule="auto"/>
        <w:rPr>
          <w:rFonts w:hint="eastAsia" w:ascii="Arial" w:hAnsi="Arial" w:cs="Arial"/>
          <w:sz w:val="19"/>
          <w:szCs w:val="19"/>
        </w:rPr>
      </w:pPr>
      <w:r>
        <w:rPr>
          <w:rFonts w:hint="eastAsia" w:ascii="Arial" w:hAnsi="Arial" w:cs="Arial"/>
          <w:sz w:val="19"/>
          <w:szCs w:val="19"/>
        </w:rPr>
        <w:t>以分组方式进行，每组4~5人，</w:t>
      </w:r>
      <w:r>
        <w:rPr>
          <w:rFonts w:hint="eastAsia" w:ascii="Arial" w:hAnsi="Arial" w:cs="Arial"/>
          <w:color w:val="000000"/>
          <w:sz w:val="19"/>
          <w:szCs w:val="19"/>
        </w:rPr>
        <w:t>以新产品导入工程师、工艺工程师为每组主导，关联业务</w:t>
      </w:r>
      <w:r>
        <w:rPr>
          <w:rFonts w:hint="eastAsia" w:ascii="Arial" w:hAnsi="Arial" w:cs="Arial"/>
          <w:sz w:val="19"/>
          <w:szCs w:val="19"/>
        </w:rPr>
        <w:t>质量、试验测试工程师及管理层分布在各实际设计业务小组之中，最多5组。每个小组在培训过程中需要启动至少1个自己公司实际设计产品的PFMEA项目贯穿全程培训练习和讲解。</w:t>
      </w:r>
    </w:p>
    <w:p>
      <w:pPr>
        <w:numPr>
          <w:ilvl w:val="0"/>
          <w:numId w:val="5"/>
        </w:numPr>
        <w:spacing w:line="360" w:lineRule="auto"/>
        <w:rPr>
          <w:rFonts w:hint="eastAsia" w:ascii="Arial" w:hAnsi="Arial" w:cs="Arial"/>
          <w:color w:val="000000"/>
          <w:sz w:val="19"/>
          <w:szCs w:val="19"/>
        </w:rPr>
      </w:pPr>
      <w:r>
        <w:rPr>
          <w:rFonts w:hint="eastAsia" w:ascii="Arial" w:hAnsi="Arial" w:cs="Arial"/>
          <w:sz w:val="19"/>
          <w:szCs w:val="19"/>
        </w:rPr>
        <w:t>每组至少1台电脑（电脑配置要</w:t>
      </w:r>
      <w:r>
        <w:rPr>
          <w:rFonts w:hint="eastAsia" w:ascii="Arial" w:hAnsi="Arial" w:cs="Arial"/>
          <w:color w:val="000000"/>
          <w:sz w:val="19"/>
          <w:szCs w:val="19"/>
        </w:rPr>
        <w:t>求：Microsoft Excel 2003及以上版本，非Vista操作系统）用于产品PFMEA实战练习。</w:t>
      </w:r>
    </w:p>
    <w:p>
      <w:pPr>
        <w:numPr>
          <w:ilvl w:val="0"/>
          <w:numId w:val="5"/>
        </w:numPr>
        <w:spacing w:line="360" w:lineRule="auto"/>
        <w:rPr>
          <w:rFonts w:hint="eastAsia" w:ascii="Arial" w:hAnsi="Arial" w:cs="Arial"/>
          <w:color w:val="000000"/>
          <w:sz w:val="19"/>
          <w:szCs w:val="19"/>
        </w:rPr>
      </w:pPr>
      <w:r>
        <w:rPr>
          <w:rFonts w:hint="eastAsia" w:ascii="Arial" w:hAnsi="Arial" w:cs="Arial"/>
          <w:color w:val="000000"/>
          <w:sz w:val="19"/>
          <w:szCs w:val="19"/>
        </w:rPr>
        <w:t>如果条件允许，工程师可把自己负责的零件/产品的制造过程流程图、样品或产品手册等技术资料带到课堂，咨询顾问进行现场PFMEA分析讲解。</w:t>
      </w:r>
    </w:p>
    <w:p>
      <w:pPr>
        <w:spacing w:line="360" w:lineRule="auto"/>
        <w:rPr>
          <w:rFonts w:hint="eastAsia" w:ascii="Arial" w:hAnsi="Arial" w:cs="Arial"/>
          <w:b/>
          <w:sz w:val="19"/>
          <w:szCs w:val="19"/>
        </w:rPr>
      </w:pPr>
    </w:p>
    <w:p>
      <w:pPr>
        <w:spacing w:line="245" w:lineRule="atLeast"/>
        <w:rPr>
          <w:rFonts w:hint="eastAsia" w:ascii="Arial" w:cs="Arial"/>
          <w:sz w:val="19"/>
          <w:szCs w:val="19"/>
        </w:rPr>
      </w:pPr>
      <w:bookmarkStart w:id="0" w:name="_GoBack"/>
      <w:bookmarkEnd w:id="0"/>
    </w:p>
    <w:sectPr>
      <w:footerReference r:id="rId3" w:type="default"/>
      <w:pgSz w:w="11906" w:h="16838"/>
      <w:pgMar w:top="1440" w:right="1800" w:bottom="935" w:left="1800" w:header="851"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rdiaUPC">
    <w:altName w:val="Leelawadee UI"/>
    <w:panose1 w:val="020B0304020202020204"/>
    <w:charset w:val="00"/>
    <w:family w:val="swiss"/>
    <w:pitch w:val="default"/>
    <w:sig w:usb0="00000000" w:usb1="00000000" w:usb2="00000000" w:usb3="00000000" w:csb0="00010001"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auto"/>
    <w:pitch w:val="default"/>
    <w:sig w:usb0="00000000" w:usb1="00000000" w:usb2="00000010" w:usb3="00000000" w:csb0="00100000" w:csb1="00000000"/>
  </w:font>
  <w:font w:name="Microsoft Sans Serif">
    <w:panose1 w:val="020B0604020202020204"/>
    <w:charset w:val="00"/>
    <w:family w:val="swiss"/>
    <w:pitch w:val="default"/>
    <w:sig w:usb0="E5002EFF" w:usb1="C000605B" w:usb2="00000029" w:usb3="00000000" w:csb0="200101FF" w:csb1="20280000"/>
  </w:font>
  <w:font w:name="Leelawadee UI">
    <w:panose1 w:val="020B0502040204020203"/>
    <w:charset w:val="00"/>
    <w:family w:val="auto"/>
    <w:pitch w:val="default"/>
    <w:sig w:usb0="83000003" w:usb1="00000000" w:usb2="00010000" w:usb3="00000001" w:csb0="000101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20"/>
        <w:tab w:val="right" w:pos="8640"/>
      </w:tabs>
      <w:rPr>
        <w:rFonts w:hint="eastAsia" w:ascii="Arial" w:hAnsi="Arial" w:cs="Arial"/>
        <w:color w:val="0000FF"/>
        <w:sz w:val="16"/>
        <w:szCs w:val="16"/>
      </w:rPr>
    </w:pPr>
    <w:r>
      <w:rPr>
        <w:rFonts w:ascii="Arial" w:hAnsi="Arial" w:cs="Arial"/>
      </w:rPr>
      <mc:AlternateContent>
        <mc:Choice Requires="wps">
          <w:drawing>
            <wp:anchor distT="0" distB="0" distL="114300" distR="114300" simplePos="0" relativeHeight="251659264" behindDoc="0" locked="0" layoutInCell="1" allowOverlap="1">
              <wp:simplePos x="0" y="0"/>
              <wp:positionH relativeFrom="column">
                <wp:posOffset>-168275</wp:posOffset>
              </wp:positionH>
              <wp:positionV relativeFrom="paragraph">
                <wp:posOffset>102235</wp:posOffset>
              </wp:positionV>
              <wp:extent cx="6226175" cy="0"/>
              <wp:effectExtent l="0" t="0" r="0" b="0"/>
              <wp:wrapNone/>
              <wp:docPr id="47" name="直线 9"/>
              <wp:cNvGraphicFramePr/>
              <a:graphic xmlns:a="http://schemas.openxmlformats.org/drawingml/2006/main">
                <a:graphicData uri="http://schemas.microsoft.com/office/word/2010/wordprocessingShape">
                  <wps:wsp>
                    <wps:cNvCnPr/>
                    <wps:spPr>
                      <a:xfrm>
                        <a:off x="0" y="0"/>
                        <a:ext cx="622617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13.25pt;margin-top:8.05pt;height:0pt;width:490.25pt;z-index:251659264;mso-width-relative:page;mso-height-relative:page;" filled="f" stroked="t" coordsize="21600,21600" o:gfxdata="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YgyNXW&#10;AAAACQEAAA8AAAAAAAAAAQAgAAAAIgAAAGRycy9kb3ducmV2LnhtbFBLAQIUABQAAAAIAIdO4kAF&#10;MPQa6QEAANwDAAAOAAAAAAAAAAEAIAAAACUBAABkcnMvZTJvRG9jLnhtbFBLBQYAAAAABgAGAFkB&#10;AACABQAAAAA=&#10;">
              <v:fill on="f" focussize="0,0"/>
              <v:stroke color="#000000" joinstyle="round"/>
              <v:imagedata o:title=""/>
              <o:lock v:ext="edit" aspectratio="f"/>
            </v:line>
          </w:pict>
        </mc:Fallback>
      </mc:AlternateContent>
    </w:r>
  </w:p>
  <w:p>
    <w:pPr>
      <w:tabs>
        <w:tab w:val="center" w:pos="4680"/>
        <w:tab w:val="right" w:pos="9180"/>
      </w:tabs>
      <w:jc w:val="center"/>
      <w:rPr>
        <w:rFonts w:hint="eastAsia" w:ascii="Arial" w:hAnsi="Arial" w:cs="Arial"/>
        <w:sz w:val="21"/>
        <w:szCs w:val="21"/>
      </w:rPr>
    </w:pPr>
    <w:r>
      <w:fldChar w:fldCharType="begin"/>
    </w:r>
    <w:r>
      <w:instrText xml:space="preserve"> PAGE </w:instrText>
    </w:r>
    <w:r>
      <w:fldChar w:fldCharType="separate"/>
    </w:r>
    <w:r>
      <w:t>7</w:t>
    </w:r>
    <w:r>
      <w:fldChar w:fldCharType="end"/>
    </w:r>
    <w:r>
      <w:t>/</w:t>
    </w:r>
    <w:r>
      <w:fldChar w:fldCharType="begin"/>
    </w:r>
    <w:r>
      <w:instrText xml:space="preserve"> NUMPAGES </w:instrText>
    </w:r>
    <w:r>
      <w:fldChar w:fldCharType="separate"/>
    </w:r>
    <w:r>
      <w:t>9</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A3E3A"/>
    <w:multiLevelType w:val="multilevel"/>
    <w:tmpl w:val="13DA3E3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BF92CB0"/>
    <w:multiLevelType w:val="multilevel"/>
    <w:tmpl w:val="2BF92CB0"/>
    <w:lvl w:ilvl="0" w:tentative="0">
      <w:start w:val="1"/>
      <w:numFmt w:val="bullet"/>
      <w:lvlText w:val=""/>
      <w:lvlJc w:val="left"/>
      <w:pPr>
        <w:tabs>
          <w:tab w:val="left" w:pos="660"/>
        </w:tabs>
        <w:ind w:left="660" w:hanging="480"/>
      </w:pPr>
      <w:rPr>
        <w:rFonts w:hint="default" w:ascii="Wingdings" w:hAnsi="Wingdings"/>
      </w:rPr>
    </w:lvl>
    <w:lvl w:ilvl="1" w:tentative="0">
      <w:start w:val="1"/>
      <w:numFmt w:val="bullet"/>
      <w:lvlText w:val=""/>
      <w:lvlJc w:val="left"/>
      <w:pPr>
        <w:tabs>
          <w:tab w:val="left" w:pos="1140"/>
        </w:tabs>
        <w:ind w:left="1140" w:hanging="480"/>
      </w:pPr>
      <w:rPr>
        <w:rFonts w:hint="default" w:ascii="Wingdings" w:hAnsi="Wingdings"/>
      </w:rPr>
    </w:lvl>
    <w:lvl w:ilvl="2" w:tentative="0">
      <w:start w:val="1"/>
      <w:numFmt w:val="bullet"/>
      <w:lvlText w:val=""/>
      <w:lvlJc w:val="left"/>
      <w:pPr>
        <w:tabs>
          <w:tab w:val="left" w:pos="1620"/>
        </w:tabs>
        <w:ind w:left="1620" w:hanging="480"/>
      </w:pPr>
      <w:rPr>
        <w:rFonts w:hint="default" w:ascii="Wingdings" w:hAnsi="Wingdings"/>
      </w:rPr>
    </w:lvl>
    <w:lvl w:ilvl="3" w:tentative="0">
      <w:start w:val="1"/>
      <w:numFmt w:val="bullet"/>
      <w:lvlText w:val=""/>
      <w:lvlJc w:val="left"/>
      <w:pPr>
        <w:tabs>
          <w:tab w:val="left" w:pos="2100"/>
        </w:tabs>
        <w:ind w:left="2100" w:hanging="480"/>
      </w:pPr>
      <w:rPr>
        <w:rFonts w:hint="default" w:ascii="Wingdings" w:hAnsi="Wingdings"/>
      </w:rPr>
    </w:lvl>
    <w:lvl w:ilvl="4" w:tentative="0">
      <w:start w:val="1"/>
      <w:numFmt w:val="bullet"/>
      <w:lvlText w:val=""/>
      <w:lvlJc w:val="left"/>
      <w:pPr>
        <w:tabs>
          <w:tab w:val="left" w:pos="2580"/>
        </w:tabs>
        <w:ind w:left="2580" w:hanging="480"/>
      </w:pPr>
      <w:rPr>
        <w:rFonts w:hint="default" w:ascii="Wingdings" w:hAnsi="Wingdings"/>
      </w:rPr>
    </w:lvl>
    <w:lvl w:ilvl="5" w:tentative="0">
      <w:start w:val="1"/>
      <w:numFmt w:val="bullet"/>
      <w:lvlText w:val=""/>
      <w:lvlJc w:val="left"/>
      <w:pPr>
        <w:tabs>
          <w:tab w:val="left" w:pos="3060"/>
        </w:tabs>
        <w:ind w:left="3060" w:hanging="480"/>
      </w:pPr>
      <w:rPr>
        <w:rFonts w:hint="default" w:ascii="Wingdings" w:hAnsi="Wingdings"/>
      </w:rPr>
    </w:lvl>
    <w:lvl w:ilvl="6" w:tentative="0">
      <w:start w:val="1"/>
      <w:numFmt w:val="bullet"/>
      <w:lvlText w:val=""/>
      <w:lvlJc w:val="left"/>
      <w:pPr>
        <w:tabs>
          <w:tab w:val="left" w:pos="3540"/>
        </w:tabs>
        <w:ind w:left="3540" w:hanging="480"/>
      </w:pPr>
      <w:rPr>
        <w:rFonts w:hint="default" w:ascii="Wingdings" w:hAnsi="Wingdings"/>
      </w:rPr>
    </w:lvl>
    <w:lvl w:ilvl="7" w:tentative="0">
      <w:start w:val="1"/>
      <w:numFmt w:val="bullet"/>
      <w:lvlText w:val=""/>
      <w:lvlJc w:val="left"/>
      <w:pPr>
        <w:tabs>
          <w:tab w:val="left" w:pos="4020"/>
        </w:tabs>
        <w:ind w:left="4020" w:hanging="480"/>
      </w:pPr>
      <w:rPr>
        <w:rFonts w:hint="default" w:ascii="Wingdings" w:hAnsi="Wingdings"/>
      </w:rPr>
    </w:lvl>
    <w:lvl w:ilvl="8" w:tentative="0">
      <w:start w:val="1"/>
      <w:numFmt w:val="bullet"/>
      <w:lvlText w:val=""/>
      <w:lvlJc w:val="left"/>
      <w:pPr>
        <w:tabs>
          <w:tab w:val="left" w:pos="4500"/>
        </w:tabs>
        <w:ind w:left="4500" w:hanging="480"/>
      </w:pPr>
      <w:rPr>
        <w:rFonts w:hint="default" w:ascii="Wingdings" w:hAnsi="Wingdings"/>
      </w:rPr>
    </w:lvl>
  </w:abstractNum>
  <w:abstractNum w:abstractNumId="2">
    <w:nsid w:val="372D02CF"/>
    <w:multiLevelType w:val="multilevel"/>
    <w:tmpl w:val="372D02CF"/>
    <w:lvl w:ilvl="0" w:tentative="0">
      <w:start w:val="1"/>
      <w:numFmt w:val="decimal"/>
      <w:lvlText w:val="%1、"/>
      <w:lvlJc w:val="left"/>
      <w:pPr>
        <w:tabs>
          <w:tab w:val="left" w:pos="466"/>
        </w:tabs>
        <w:ind w:left="466" w:hanging="360"/>
      </w:pPr>
      <w:rPr>
        <w:rFonts w:hint="default" w:hAnsi="Arial"/>
      </w:rPr>
    </w:lvl>
    <w:lvl w:ilvl="1" w:tentative="0">
      <w:start w:val="1"/>
      <w:numFmt w:val="lowerLetter"/>
      <w:lvlText w:val="%2)"/>
      <w:lvlJc w:val="left"/>
      <w:pPr>
        <w:tabs>
          <w:tab w:val="left" w:pos="946"/>
        </w:tabs>
        <w:ind w:left="946" w:hanging="420"/>
      </w:pPr>
    </w:lvl>
    <w:lvl w:ilvl="2" w:tentative="0">
      <w:start w:val="1"/>
      <w:numFmt w:val="lowerRoman"/>
      <w:lvlText w:val="%3."/>
      <w:lvlJc w:val="right"/>
      <w:pPr>
        <w:tabs>
          <w:tab w:val="left" w:pos="1366"/>
        </w:tabs>
        <w:ind w:left="1366" w:hanging="420"/>
      </w:pPr>
    </w:lvl>
    <w:lvl w:ilvl="3" w:tentative="0">
      <w:start w:val="1"/>
      <w:numFmt w:val="decimal"/>
      <w:lvlText w:val="%4."/>
      <w:lvlJc w:val="left"/>
      <w:pPr>
        <w:tabs>
          <w:tab w:val="left" w:pos="1786"/>
        </w:tabs>
        <w:ind w:left="1786" w:hanging="420"/>
      </w:pPr>
    </w:lvl>
    <w:lvl w:ilvl="4" w:tentative="0">
      <w:start w:val="1"/>
      <w:numFmt w:val="lowerLetter"/>
      <w:lvlText w:val="%5)"/>
      <w:lvlJc w:val="left"/>
      <w:pPr>
        <w:tabs>
          <w:tab w:val="left" w:pos="2206"/>
        </w:tabs>
        <w:ind w:left="2206" w:hanging="420"/>
      </w:pPr>
    </w:lvl>
    <w:lvl w:ilvl="5" w:tentative="0">
      <w:start w:val="1"/>
      <w:numFmt w:val="lowerRoman"/>
      <w:lvlText w:val="%6."/>
      <w:lvlJc w:val="right"/>
      <w:pPr>
        <w:tabs>
          <w:tab w:val="left" w:pos="2626"/>
        </w:tabs>
        <w:ind w:left="2626" w:hanging="420"/>
      </w:pPr>
    </w:lvl>
    <w:lvl w:ilvl="6" w:tentative="0">
      <w:start w:val="1"/>
      <w:numFmt w:val="decimal"/>
      <w:lvlText w:val="%7."/>
      <w:lvlJc w:val="left"/>
      <w:pPr>
        <w:tabs>
          <w:tab w:val="left" w:pos="3046"/>
        </w:tabs>
        <w:ind w:left="3046" w:hanging="420"/>
      </w:pPr>
    </w:lvl>
    <w:lvl w:ilvl="7" w:tentative="0">
      <w:start w:val="1"/>
      <w:numFmt w:val="lowerLetter"/>
      <w:lvlText w:val="%8)"/>
      <w:lvlJc w:val="left"/>
      <w:pPr>
        <w:tabs>
          <w:tab w:val="left" w:pos="3466"/>
        </w:tabs>
        <w:ind w:left="3466" w:hanging="420"/>
      </w:pPr>
    </w:lvl>
    <w:lvl w:ilvl="8" w:tentative="0">
      <w:start w:val="1"/>
      <w:numFmt w:val="lowerRoman"/>
      <w:lvlText w:val="%9."/>
      <w:lvlJc w:val="right"/>
      <w:pPr>
        <w:tabs>
          <w:tab w:val="left" w:pos="3886"/>
        </w:tabs>
        <w:ind w:left="3886" w:hanging="420"/>
      </w:pPr>
    </w:lvl>
  </w:abstractNum>
  <w:abstractNum w:abstractNumId="3">
    <w:nsid w:val="41FB0DDD"/>
    <w:multiLevelType w:val="multilevel"/>
    <w:tmpl w:val="41FB0DDD"/>
    <w:lvl w:ilvl="0" w:tentative="0">
      <w:start w:val="1"/>
      <w:numFmt w:val="bullet"/>
      <w:lvlText w:val=""/>
      <w:lvlJc w:val="left"/>
      <w:pPr>
        <w:tabs>
          <w:tab w:val="left" w:pos="530"/>
        </w:tabs>
        <w:ind w:left="530" w:hanging="420"/>
      </w:pPr>
      <w:rPr>
        <w:rFonts w:hint="default" w:ascii="Wingdings" w:hAnsi="Wingdings"/>
      </w:rPr>
    </w:lvl>
    <w:lvl w:ilvl="1" w:tentative="0">
      <w:start w:val="1"/>
      <w:numFmt w:val="bullet"/>
      <w:lvlText w:val=""/>
      <w:lvlJc w:val="left"/>
      <w:pPr>
        <w:tabs>
          <w:tab w:val="left" w:pos="950"/>
        </w:tabs>
        <w:ind w:left="950" w:hanging="420"/>
      </w:pPr>
      <w:rPr>
        <w:rFonts w:hint="default" w:ascii="Wingdings" w:hAnsi="Wingdings"/>
      </w:rPr>
    </w:lvl>
    <w:lvl w:ilvl="2" w:tentative="0">
      <w:start w:val="1"/>
      <w:numFmt w:val="bullet"/>
      <w:lvlText w:val=""/>
      <w:lvlJc w:val="left"/>
      <w:pPr>
        <w:tabs>
          <w:tab w:val="left" w:pos="1370"/>
        </w:tabs>
        <w:ind w:left="1370" w:hanging="420"/>
      </w:pPr>
      <w:rPr>
        <w:rFonts w:hint="default" w:ascii="Wingdings" w:hAnsi="Wingdings"/>
      </w:rPr>
    </w:lvl>
    <w:lvl w:ilvl="3" w:tentative="0">
      <w:start w:val="1"/>
      <w:numFmt w:val="bullet"/>
      <w:lvlText w:val=""/>
      <w:lvlJc w:val="left"/>
      <w:pPr>
        <w:tabs>
          <w:tab w:val="left" w:pos="1790"/>
        </w:tabs>
        <w:ind w:left="1790" w:hanging="420"/>
      </w:pPr>
      <w:rPr>
        <w:rFonts w:hint="default" w:ascii="Wingdings" w:hAnsi="Wingdings"/>
      </w:rPr>
    </w:lvl>
    <w:lvl w:ilvl="4" w:tentative="0">
      <w:start w:val="1"/>
      <w:numFmt w:val="bullet"/>
      <w:lvlText w:val=""/>
      <w:lvlJc w:val="left"/>
      <w:pPr>
        <w:tabs>
          <w:tab w:val="left" w:pos="2210"/>
        </w:tabs>
        <w:ind w:left="2210" w:hanging="420"/>
      </w:pPr>
      <w:rPr>
        <w:rFonts w:hint="default" w:ascii="Wingdings" w:hAnsi="Wingdings"/>
      </w:rPr>
    </w:lvl>
    <w:lvl w:ilvl="5" w:tentative="0">
      <w:start w:val="1"/>
      <w:numFmt w:val="bullet"/>
      <w:lvlText w:val=""/>
      <w:lvlJc w:val="left"/>
      <w:pPr>
        <w:tabs>
          <w:tab w:val="left" w:pos="2630"/>
        </w:tabs>
        <w:ind w:left="2630" w:hanging="420"/>
      </w:pPr>
      <w:rPr>
        <w:rFonts w:hint="default" w:ascii="Wingdings" w:hAnsi="Wingdings"/>
      </w:rPr>
    </w:lvl>
    <w:lvl w:ilvl="6" w:tentative="0">
      <w:start w:val="1"/>
      <w:numFmt w:val="bullet"/>
      <w:lvlText w:val=""/>
      <w:lvlJc w:val="left"/>
      <w:pPr>
        <w:tabs>
          <w:tab w:val="left" w:pos="3050"/>
        </w:tabs>
        <w:ind w:left="3050" w:hanging="420"/>
      </w:pPr>
      <w:rPr>
        <w:rFonts w:hint="default" w:ascii="Wingdings" w:hAnsi="Wingdings"/>
      </w:rPr>
    </w:lvl>
    <w:lvl w:ilvl="7" w:tentative="0">
      <w:start w:val="1"/>
      <w:numFmt w:val="bullet"/>
      <w:lvlText w:val=""/>
      <w:lvlJc w:val="left"/>
      <w:pPr>
        <w:tabs>
          <w:tab w:val="left" w:pos="3470"/>
        </w:tabs>
        <w:ind w:left="3470" w:hanging="420"/>
      </w:pPr>
      <w:rPr>
        <w:rFonts w:hint="default" w:ascii="Wingdings" w:hAnsi="Wingdings"/>
      </w:rPr>
    </w:lvl>
    <w:lvl w:ilvl="8" w:tentative="0">
      <w:start w:val="1"/>
      <w:numFmt w:val="bullet"/>
      <w:lvlText w:val=""/>
      <w:lvlJc w:val="left"/>
      <w:pPr>
        <w:tabs>
          <w:tab w:val="left" w:pos="3890"/>
        </w:tabs>
        <w:ind w:left="3890" w:hanging="420"/>
      </w:pPr>
      <w:rPr>
        <w:rFonts w:hint="default" w:ascii="Wingdings" w:hAnsi="Wingdings"/>
      </w:rPr>
    </w:lvl>
  </w:abstractNum>
  <w:abstractNum w:abstractNumId="4">
    <w:nsid w:val="75F21F05"/>
    <w:multiLevelType w:val="multilevel"/>
    <w:tmpl w:val="75F21F05"/>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840"/>
        </w:tabs>
        <w:ind w:left="840" w:hanging="420"/>
      </w:pPr>
      <w:rPr>
        <w:rFonts w:hint="default"/>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5OTc3ZTM3MWFhMzAzMjI4NzJlY2JlN2NkZDc1NTkifQ=="/>
  </w:docVars>
  <w:rsids>
    <w:rsidRoot w:val="00987BDC"/>
    <w:rsid w:val="000019C3"/>
    <w:rsid w:val="00017302"/>
    <w:rsid w:val="00021D8B"/>
    <w:rsid w:val="00024863"/>
    <w:rsid w:val="0003566E"/>
    <w:rsid w:val="00036FB0"/>
    <w:rsid w:val="00037473"/>
    <w:rsid w:val="00041407"/>
    <w:rsid w:val="00041663"/>
    <w:rsid w:val="000476AF"/>
    <w:rsid w:val="000529B0"/>
    <w:rsid w:val="00067122"/>
    <w:rsid w:val="00071E88"/>
    <w:rsid w:val="00075AF2"/>
    <w:rsid w:val="00076899"/>
    <w:rsid w:val="00085875"/>
    <w:rsid w:val="0009035F"/>
    <w:rsid w:val="0009324F"/>
    <w:rsid w:val="000B2C16"/>
    <w:rsid w:val="000B3C00"/>
    <w:rsid w:val="000D63C4"/>
    <w:rsid w:val="000D7963"/>
    <w:rsid w:val="000E1D51"/>
    <w:rsid w:val="000E4707"/>
    <w:rsid w:val="000F0C4E"/>
    <w:rsid w:val="000F688A"/>
    <w:rsid w:val="00104CA5"/>
    <w:rsid w:val="001168D1"/>
    <w:rsid w:val="00117BDB"/>
    <w:rsid w:val="00127AE8"/>
    <w:rsid w:val="001344B9"/>
    <w:rsid w:val="00134A51"/>
    <w:rsid w:val="00135413"/>
    <w:rsid w:val="00141DC2"/>
    <w:rsid w:val="00142B59"/>
    <w:rsid w:val="0015592D"/>
    <w:rsid w:val="00165A3F"/>
    <w:rsid w:val="00171E56"/>
    <w:rsid w:val="0017357D"/>
    <w:rsid w:val="00174826"/>
    <w:rsid w:val="00180207"/>
    <w:rsid w:val="0018057F"/>
    <w:rsid w:val="00194C41"/>
    <w:rsid w:val="00194E75"/>
    <w:rsid w:val="001A110F"/>
    <w:rsid w:val="001A6DEC"/>
    <w:rsid w:val="001B2974"/>
    <w:rsid w:val="001B6312"/>
    <w:rsid w:val="001C1ACE"/>
    <w:rsid w:val="001C519B"/>
    <w:rsid w:val="001D25EA"/>
    <w:rsid w:val="001D3811"/>
    <w:rsid w:val="001E185B"/>
    <w:rsid w:val="001E4EE3"/>
    <w:rsid w:val="001E55FF"/>
    <w:rsid w:val="001F7D84"/>
    <w:rsid w:val="00212FBB"/>
    <w:rsid w:val="00213A99"/>
    <w:rsid w:val="00216D49"/>
    <w:rsid w:val="0023335D"/>
    <w:rsid w:val="002349E0"/>
    <w:rsid w:val="0024244F"/>
    <w:rsid w:val="00242A1F"/>
    <w:rsid w:val="00242D60"/>
    <w:rsid w:val="00245C93"/>
    <w:rsid w:val="00251EC2"/>
    <w:rsid w:val="00257694"/>
    <w:rsid w:val="002634E4"/>
    <w:rsid w:val="0026367A"/>
    <w:rsid w:val="00264CB4"/>
    <w:rsid w:val="00267077"/>
    <w:rsid w:val="002774B9"/>
    <w:rsid w:val="0028102D"/>
    <w:rsid w:val="00282A80"/>
    <w:rsid w:val="0029661C"/>
    <w:rsid w:val="002B02B9"/>
    <w:rsid w:val="002B1D39"/>
    <w:rsid w:val="002C08B2"/>
    <w:rsid w:val="002C34E8"/>
    <w:rsid w:val="002D62A6"/>
    <w:rsid w:val="002E778C"/>
    <w:rsid w:val="002F0AE3"/>
    <w:rsid w:val="002F141E"/>
    <w:rsid w:val="002F4264"/>
    <w:rsid w:val="0030034E"/>
    <w:rsid w:val="003003A7"/>
    <w:rsid w:val="00300BE4"/>
    <w:rsid w:val="00307B98"/>
    <w:rsid w:val="00317168"/>
    <w:rsid w:val="00321F65"/>
    <w:rsid w:val="00324884"/>
    <w:rsid w:val="00324982"/>
    <w:rsid w:val="00330F5A"/>
    <w:rsid w:val="00334999"/>
    <w:rsid w:val="003379F1"/>
    <w:rsid w:val="00345EF3"/>
    <w:rsid w:val="00350F3C"/>
    <w:rsid w:val="00354231"/>
    <w:rsid w:val="00354ACE"/>
    <w:rsid w:val="0035546F"/>
    <w:rsid w:val="003560B6"/>
    <w:rsid w:val="0035759E"/>
    <w:rsid w:val="00360F0E"/>
    <w:rsid w:val="00376458"/>
    <w:rsid w:val="0037681F"/>
    <w:rsid w:val="00380EFA"/>
    <w:rsid w:val="00383E11"/>
    <w:rsid w:val="003841B6"/>
    <w:rsid w:val="00395DE6"/>
    <w:rsid w:val="003A28D8"/>
    <w:rsid w:val="003C26C4"/>
    <w:rsid w:val="003C3CDD"/>
    <w:rsid w:val="003C7907"/>
    <w:rsid w:val="00404904"/>
    <w:rsid w:val="00411C41"/>
    <w:rsid w:val="0041371D"/>
    <w:rsid w:val="00414B72"/>
    <w:rsid w:val="004234A9"/>
    <w:rsid w:val="00425DCC"/>
    <w:rsid w:val="0042739D"/>
    <w:rsid w:val="0042770C"/>
    <w:rsid w:val="00432D3F"/>
    <w:rsid w:val="004353DB"/>
    <w:rsid w:val="0044297D"/>
    <w:rsid w:val="00450542"/>
    <w:rsid w:val="00452D5C"/>
    <w:rsid w:val="0047300E"/>
    <w:rsid w:val="004745D0"/>
    <w:rsid w:val="00481763"/>
    <w:rsid w:val="00484CCA"/>
    <w:rsid w:val="00486924"/>
    <w:rsid w:val="004923AD"/>
    <w:rsid w:val="004A1159"/>
    <w:rsid w:val="004A163B"/>
    <w:rsid w:val="004C109C"/>
    <w:rsid w:val="004C289D"/>
    <w:rsid w:val="004C2BA9"/>
    <w:rsid w:val="004C56C4"/>
    <w:rsid w:val="004D1260"/>
    <w:rsid w:val="004E1336"/>
    <w:rsid w:val="004E1D04"/>
    <w:rsid w:val="004E6715"/>
    <w:rsid w:val="004F12AF"/>
    <w:rsid w:val="004F7CDF"/>
    <w:rsid w:val="0050454B"/>
    <w:rsid w:val="00513982"/>
    <w:rsid w:val="00514190"/>
    <w:rsid w:val="00521B59"/>
    <w:rsid w:val="00527B38"/>
    <w:rsid w:val="00532CFB"/>
    <w:rsid w:val="00534D5D"/>
    <w:rsid w:val="005436B3"/>
    <w:rsid w:val="00546286"/>
    <w:rsid w:val="0055437B"/>
    <w:rsid w:val="005557DC"/>
    <w:rsid w:val="00557C58"/>
    <w:rsid w:val="0056558F"/>
    <w:rsid w:val="00566676"/>
    <w:rsid w:val="00571D01"/>
    <w:rsid w:val="00572244"/>
    <w:rsid w:val="0057419A"/>
    <w:rsid w:val="00582F36"/>
    <w:rsid w:val="00593DD9"/>
    <w:rsid w:val="00597BEB"/>
    <w:rsid w:val="005A297E"/>
    <w:rsid w:val="005C1D62"/>
    <w:rsid w:val="005C678B"/>
    <w:rsid w:val="005D2649"/>
    <w:rsid w:val="005D2D11"/>
    <w:rsid w:val="005D4F7D"/>
    <w:rsid w:val="005D6E15"/>
    <w:rsid w:val="005E2973"/>
    <w:rsid w:val="005E3D83"/>
    <w:rsid w:val="005F4793"/>
    <w:rsid w:val="005F6BD1"/>
    <w:rsid w:val="00602092"/>
    <w:rsid w:val="00605AD5"/>
    <w:rsid w:val="00613F4B"/>
    <w:rsid w:val="00621F1A"/>
    <w:rsid w:val="0062274D"/>
    <w:rsid w:val="0063000D"/>
    <w:rsid w:val="00633A07"/>
    <w:rsid w:val="0066126B"/>
    <w:rsid w:val="00663384"/>
    <w:rsid w:val="006640BB"/>
    <w:rsid w:val="00680117"/>
    <w:rsid w:val="00684DD3"/>
    <w:rsid w:val="00690A80"/>
    <w:rsid w:val="00691A3F"/>
    <w:rsid w:val="00692F2E"/>
    <w:rsid w:val="00695CBE"/>
    <w:rsid w:val="006B17BB"/>
    <w:rsid w:val="006B7A9F"/>
    <w:rsid w:val="006C25BF"/>
    <w:rsid w:val="006D1B84"/>
    <w:rsid w:val="006E545D"/>
    <w:rsid w:val="006F197E"/>
    <w:rsid w:val="006F48C1"/>
    <w:rsid w:val="00700E93"/>
    <w:rsid w:val="00700F5A"/>
    <w:rsid w:val="00703631"/>
    <w:rsid w:val="007047AB"/>
    <w:rsid w:val="00705EF7"/>
    <w:rsid w:val="0071331C"/>
    <w:rsid w:val="00713F5C"/>
    <w:rsid w:val="00723363"/>
    <w:rsid w:val="00727A18"/>
    <w:rsid w:val="00727F36"/>
    <w:rsid w:val="00732243"/>
    <w:rsid w:val="00734C72"/>
    <w:rsid w:val="00745BCB"/>
    <w:rsid w:val="00763696"/>
    <w:rsid w:val="00764DF5"/>
    <w:rsid w:val="00770185"/>
    <w:rsid w:val="0078656A"/>
    <w:rsid w:val="0078713D"/>
    <w:rsid w:val="00796EBB"/>
    <w:rsid w:val="007A28B7"/>
    <w:rsid w:val="007A435F"/>
    <w:rsid w:val="007A5DFF"/>
    <w:rsid w:val="007A61F8"/>
    <w:rsid w:val="007C0A13"/>
    <w:rsid w:val="007C1864"/>
    <w:rsid w:val="007C3127"/>
    <w:rsid w:val="007C4569"/>
    <w:rsid w:val="007E27B4"/>
    <w:rsid w:val="007F2BBF"/>
    <w:rsid w:val="007F4AB4"/>
    <w:rsid w:val="00817846"/>
    <w:rsid w:val="00823223"/>
    <w:rsid w:val="008315B2"/>
    <w:rsid w:val="00833070"/>
    <w:rsid w:val="00833E0F"/>
    <w:rsid w:val="00844403"/>
    <w:rsid w:val="00850BC5"/>
    <w:rsid w:val="008607ED"/>
    <w:rsid w:val="00863801"/>
    <w:rsid w:val="008759F7"/>
    <w:rsid w:val="0087641B"/>
    <w:rsid w:val="00884D0F"/>
    <w:rsid w:val="0088768D"/>
    <w:rsid w:val="00891683"/>
    <w:rsid w:val="00894A1D"/>
    <w:rsid w:val="00897FD5"/>
    <w:rsid w:val="008A4473"/>
    <w:rsid w:val="008A484F"/>
    <w:rsid w:val="008C1493"/>
    <w:rsid w:val="008C3957"/>
    <w:rsid w:val="008D650C"/>
    <w:rsid w:val="008E0EB6"/>
    <w:rsid w:val="008E1E64"/>
    <w:rsid w:val="008E781E"/>
    <w:rsid w:val="008F0FE0"/>
    <w:rsid w:val="008F1554"/>
    <w:rsid w:val="008F25C2"/>
    <w:rsid w:val="00901661"/>
    <w:rsid w:val="009019CB"/>
    <w:rsid w:val="00913DB5"/>
    <w:rsid w:val="00914E99"/>
    <w:rsid w:val="009270E7"/>
    <w:rsid w:val="0093066B"/>
    <w:rsid w:val="00931018"/>
    <w:rsid w:val="00937DFB"/>
    <w:rsid w:val="009418A9"/>
    <w:rsid w:val="009520D8"/>
    <w:rsid w:val="009532A4"/>
    <w:rsid w:val="00955217"/>
    <w:rsid w:val="00961093"/>
    <w:rsid w:val="009635B4"/>
    <w:rsid w:val="00965570"/>
    <w:rsid w:val="00977E59"/>
    <w:rsid w:val="0098049B"/>
    <w:rsid w:val="00987BDC"/>
    <w:rsid w:val="00991F7D"/>
    <w:rsid w:val="00995AF8"/>
    <w:rsid w:val="009A1A77"/>
    <w:rsid w:val="009A6C40"/>
    <w:rsid w:val="009C183D"/>
    <w:rsid w:val="00A06037"/>
    <w:rsid w:val="00A10EA5"/>
    <w:rsid w:val="00A22C5A"/>
    <w:rsid w:val="00A240A8"/>
    <w:rsid w:val="00A35E8B"/>
    <w:rsid w:val="00A416F9"/>
    <w:rsid w:val="00A416FB"/>
    <w:rsid w:val="00A433BB"/>
    <w:rsid w:val="00A433D6"/>
    <w:rsid w:val="00A44139"/>
    <w:rsid w:val="00A4631F"/>
    <w:rsid w:val="00A463DD"/>
    <w:rsid w:val="00A53873"/>
    <w:rsid w:val="00A57BFE"/>
    <w:rsid w:val="00A83AF7"/>
    <w:rsid w:val="00A8504D"/>
    <w:rsid w:val="00A9114F"/>
    <w:rsid w:val="00AA03CC"/>
    <w:rsid w:val="00AA19D6"/>
    <w:rsid w:val="00AA21A3"/>
    <w:rsid w:val="00AB0297"/>
    <w:rsid w:val="00AB6834"/>
    <w:rsid w:val="00AD1197"/>
    <w:rsid w:val="00AD11FE"/>
    <w:rsid w:val="00AE17D8"/>
    <w:rsid w:val="00AE6D5D"/>
    <w:rsid w:val="00AF7D2B"/>
    <w:rsid w:val="00B00683"/>
    <w:rsid w:val="00B012C6"/>
    <w:rsid w:val="00B01E36"/>
    <w:rsid w:val="00B035C3"/>
    <w:rsid w:val="00B223F9"/>
    <w:rsid w:val="00B4303F"/>
    <w:rsid w:val="00B47AE9"/>
    <w:rsid w:val="00B540FD"/>
    <w:rsid w:val="00B66165"/>
    <w:rsid w:val="00B66F5C"/>
    <w:rsid w:val="00B723D7"/>
    <w:rsid w:val="00B72460"/>
    <w:rsid w:val="00B76427"/>
    <w:rsid w:val="00B80CDF"/>
    <w:rsid w:val="00B86885"/>
    <w:rsid w:val="00B93F27"/>
    <w:rsid w:val="00B97322"/>
    <w:rsid w:val="00BA0324"/>
    <w:rsid w:val="00BA5065"/>
    <w:rsid w:val="00BB3304"/>
    <w:rsid w:val="00BB3F3F"/>
    <w:rsid w:val="00BB72DC"/>
    <w:rsid w:val="00BC1E4B"/>
    <w:rsid w:val="00BD3D78"/>
    <w:rsid w:val="00BE0774"/>
    <w:rsid w:val="00BE2B76"/>
    <w:rsid w:val="00BE2B9F"/>
    <w:rsid w:val="00BF1198"/>
    <w:rsid w:val="00BF5ECD"/>
    <w:rsid w:val="00C02140"/>
    <w:rsid w:val="00C06712"/>
    <w:rsid w:val="00C22DBC"/>
    <w:rsid w:val="00C41D72"/>
    <w:rsid w:val="00C45A48"/>
    <w:rsid w:val="00C555CB"/>
    <w:rsid w:val="00C64029"/>
    <w:rsid w:val="00C712C0"/>
    <w:rsid w:val="00C751A2"/>
    <w:rsid w:val="00C9657B"/>
    <w:rsid w:val="00C97491"/>
    <w:rsid w:val="00CA16A1"/>
    <w:rsid w:val="00CB3F2D"/>
    <w:rsid w:val="00CC1754"/>
    <w:rsid w:val="00CC7532"/>
    <w:rsid w:val="00CD6823"/>
    <w:rsid w:val="00CE3274"/>
    <w:rsid w:val="00CE5A98"/>
    <w:rsid w:val="00CE661E"/>
    <w:rsid w:val="00CE6642"/>
    <w:rsid w:val="00D3693D"/>
    <w:rsid w:val="00D3743F"/>
    <w:rsid w:val="00D42FB8"/>
    <w:rsid w:val="00D564A9"/>
    <w:rsid w:val="00D60F8A"/>
    <w:rsid w:val="00D6274D"/>
    <w:rsid w:val="00D75522"/>
    <w:rsid w:val="00D84791"/>
    <w:rsid w:val="00D85A12"/>
    <w:rsid w:val="00D92925"/>
    <w:rsid w:val="00D9430D"/>
    <w:rsid w:val="00DA001A"/>
    <w:rsid w:val="00DA0947"/>
    <w:rsid w:val="00DA2948"/>
    <w:rsid w:val="00DB6642"/>
    <w:rsid w:val="00DB6976"/>
    <w:rsid w:val="00DC1463"/>
    <w:rsid w:val="00DC58F0"/>
    <w:rsid w:val="00DF5591"/>
    <w:rsid w:val="00DF6B14"/>
    <w:rsid w:val="00DF70E1"/>
    <w:rsid w:val="00E01854"/>
    <w:rsid w:val="00E11052"/>
    <w:rsid w:val="00E128B5"/>
    <w:rsid w:val="00E15464"/>
    <w:rsid w:val="00E26633"/>
    <w:rsid w:val="00E337DA"/>
    <w:rsid w:val="00E341FE"/>
    <w:rsid w:val="00E34302"/>
    <w:rsid w:val="00E3632D"/>
    <w:rsid w:val="00E3657D"/>
    <w:rsid w:val="00E3668F"/>
    <w:rsid w:val="00E55E51"/>
    <w:rsid w:val="00E61B1C"/>
    <w:rsid w:val="00E6396C"/>
    <w:rsid w:val="00E72E96"/>
    <w:rsid w:val="00E75CE3"/>
    <w:rsid w:val="00E93765"/>
    <w:rsid w:val="00EA078C"/>
    <w:rsid w:val="00EA22A3"/>
    <w:rsid w:val="00EB0505"/>
    <w:rsid w:val="00EB19CD"/>
    <w:rsid w:val="00ED2800"/>
    <w:rsid w:val="00EE6C65"/>
    <w:rsid w:val="00EF17E4"/>
    <w:rsid w:val="00EF2805"/>
    <w:rsid w:val="00EF36F6"/>
    <w:rsid w:val="00F17E9E"/>
    <w:rsid w:val="00F22940"/>
    <w:rsid w:val="00F241B2"/>
    <w:rsid w:val="00F26474"/>
    <w:rsid w:val="00F3202E"/>
    <w:rsid w:val="00F35EB6"/>
    <w:rsid w:val="00F416C7"/>
    <w:rsid w:val="00F43755"/>
    <w:rsid w:val="00F53AFD"/>
    <w:rsid w:val="00F73D9C"/>
    <w:rsid w:val="00F75085"/>
    <w:rsid w:val="00F775E2"/>
    <w:rsid w:val="00F839D4"/>
    <w:rsid w:val="00F843F3"/>
    <w:rsid w:val="00F952C6"/>
    <w:rsid w:val="00FA6541"/>
    <w:rsid w:val="00FB2CE8"/>
    <w:rsid w:val="00FB62C6"/>
    <w:rsid w:val="00FC078D"/>
    <w:rsid w:val="00FC1971"/>
    <w:rsid w:val="00FC2849"/>
    <w:rsid w:val="00FC6546"/>
    <w:rsid w:val="00FE425A"/>
    <w:rsid w:val="00FE5F93"/>
    <w:rsid w:val="00FE7B63"/>
    <w:rsid w:val="00FF3B5F"/>
    <w:rsid w:val="00FF53D4"/>
    <w:rsid w:val="51D535AB"/>
    <w:rsid w:val="5B5E71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ordiaUPC" w:hAnsi="CordiaUPC" w:eastAsia="宋体" w:cs="Times New Roman"/>
      <w:lang w:val="en-US" w:eastAsia="zh-CN" w:bidi="ar-SA"/>
    </w:rPr>
  </w:style>
  <w:style w:type="paragraph" w:styleId="2">
    <w:name w:val="heading 4"/>
    <w:basedOn w:val="1"/>
    <w:qFormat/>
    <w:uiPriority w:val="0"/>
    <w:pPr>
      <w:spacing w:before="77" w:after="77"/>
      <w:ind w:left="321" w:right="321"/>
      <w:outlineLvl w:val="3"/>
    </w:pPr>
    <w:rPr>
      <w:rFonts w:ascii="Verdana" w:hAnsi="Verdana" w:cs="宋体"/>
      <w:b/>
      <w:bCs/>
      <w:color w:val="2C68B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uiPriority w:val="0"/>
    <w:pPr>
      <w:overflowPunct w:val="0"/>
      <w:autoSpaceDE w:val="0"/>
      <w:autoSpaceDN w:val="0"/>
      <w:adjustRightInd w:val="0"/>
      <w:spacing w:after="120"/>
      <w:ind w:left="720"/>
      <w:textAlignment w:val="baseline"/>
    </w:pPr>
    <w:rPr>
      <w:rFonts w:ascii="Arial" w:hAnsi="Arial"/>
      <w:sz w:val="2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pPr>
    <w:rPr>
      <w:rFonts w:ascii="宋体" w:hAnsi="宋体" w:cs="宋体"/>
      <w:sz w:val="24"/>
      <w:szCs w:val="24"/>
    </w:rPr>
  </w:style>
  <w:style w:type="character" w:styleId="9">
    <w:name w:val="Strong"/>
    <w:qFormat/>
    <w:uiPriority w:val="0"/>
    <w:rPr>
      <w:b/>
      <w:bCs/>
    </w:rPr>
  </w:style>
  <w:style w:type="character" w:styleId="10">
    <w:name w:val="Hyperlink"/>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11</Pages>
  <Words>3378</Words>
  <Characters>4582</Characters>
  <Lines>38</Lines>
  <Paragraphs>10</Paragraphs>
  <TotalTime>4</TotalTime>
  <ScaleCrop>false</ScaleCrop>
  <LinksUpToDate>false</LinksUpToDate>
  <CharactersWithSpaces>4692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2018-05-24T23:11:00Z</dcterms:created>
  <dc:creator>FtpDown</dc:creator>
  <cp:lastModifiedBy>蓉儿</cp:lastModifiedBy>
  <cp:lastPrinted>2014-06-03T03:20:00Z</cp:lastPrinted>
  <dcterms:modified xsi:type="dcterms:W3CDTF">2023-12-28T07:14:22Z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A8C34B4BE8554C28A8AB403251D21CAF</vt:lpwstr>
  </property>
</Properties>
</file>