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bookmarkStart w:id="0" w:name="_GoBack"/>
      <w:bookmarkEnd w:id="0"/>
      <w:r>
        <w:rPr>
          <w:rFonts w:hint="eastAsia" w:ascii="微软雅黑" w:hAnsi="微软雅黑" w:eastAsia="微软雅黑" w:cs="微软雅黑"/>
          <w:b/>
          <w:bCs/>
          <w:i w:val="0"/>
          <w:iCs w:val="0"/>
          <w:caps w:val="0"/>
          <w:color w:val="4D4D4D"/>
          <w:spacing w:val="0"/>
          <w:sz w:val="39"/>
          <w:szCs w:val="39"/>
          <w:bdr w:val="none" w:color="auto" w:sz="0" w:space="0"/>
          <w:shd w:val="clear" w:fill="FFFFFF"/>
        </w:rPr>
        <w:t>链群合约：政企业务数智转型最佳实践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参加对象：面向省公司领导层，政企部二、三级经理，面向市公司政企业务的二、三级经理，面向政企部的资深员工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开课形式：企业内部沙盘推演、公开课、线上课、工作坊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0"/>
        <w:jc w:val="left"/>
        <w:rPr>
          <w:rFonts w:hint="eastAsia" w:ascii="微软雅黑" w:hAnsi="微软雅黑" w:eastAsia="微软雅黑" w:cs="微软雅黑"/>
          <w:i w:val="0"/>
          <w:iCs w:val="0"/>
          <w:caps w:val="0"/>
          <w:color w:val="333333"/>
          <w:spacing w:val="0"/>
        </w:rPr>
      </w:pPr>
      <w:r>
        <w:rPr>
          <w:rStyle w:val="6"/>
          <w:rFonts w:hint="eastAsia" w:ascii="微软雅黑" w:hAnsi="微软雅黑" w:eastAsia="微软雅黑" w:cs="微软雅黑"/>
          <w:b/>
          <w:bCs/>
          <w:i w:val="0"/>
          <w:iCs w:val="0"/>
          <w:caps w:val="0"/>
          <w:color w:val="333333"/>
          <w:spacing w:val="0"/>
          <w:bdr w:val="none" w:color="auto" w:sz="0" w:space="0"/>
        </w:rPr>
        <w:t>▍帮助企业找到数字化转型陷入困局的根因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 原生痛点问题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痛点01：客户需求多元，变化快。运营商难以满足客户对于高速、可靠、方便的服务要求，出现难以开发新客户、旧客户不断流失等问题；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痛点02：政企客户具备一定信息化基础，但由于缺失顶层设计和统一规划，数据孤岛和信息碎片化现象严重，部门各行其是，系统间的兼容性与集成性问题日益严重；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痛点03：政企客户内部层级众多，组织架构复杂，出现人与人之间、人与组织之间、组织与组织之间的信息协同不畅、管控难等问题。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 衍生痛点问题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痛点04：运营商缺少数字化转型的专业人才和方法论，不能清晰规划布局客户数字化转型蓝图，导致客户不知道从何处开始数字化转型；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痛点05：数字化平台数量多，但都针对业务的某一环节或者某一部门，难以形成完整的物联网结构，导致客户不知道该如何进行数字化转型；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痛点06：客户进行数字化转型的成本预估过高，转型试点的价值创造不突出，后期调整难，导致客户的数字化转型动力不足，热情不高，可持续性不强。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0"/>
        <w:jc w:val="left"/>
        <w:rPr>
          <w:rFonts w:hint="eastAsia" w:ascii="微软雅黑" w:hAnsi="微软雅黑" w:eastAsia="微软雅黑" w:cs="微软雅黑"/>
          <w:i w:val="0"/>
          <w:iCs w:val="0"/>
          <w:caps w:val="0"/>
          <w:color w:val="333333"/>
          <w:spacing w:val="0"/>
        </w:rPr>
      </w:pPr>
      <w:r>
        <w:rPr>
          <w:rFonts w:hint="eastAsia" w:ascii="微软雅黑" w:hAnsi="微软雅黑" w:eastAsia="微软雅黑" w:cs="微软雅黑"/>
          <w:i w:val="0"/>
          <w:iCs w:val="0"/>
          <w:caps w:val="0"/>
          <w:color w:val="333333"/>
          <w:spacing w:val="0"/>
          <w:bdr w:val="none" w:color="auto" w:sz="0" w:space="0"/>
        </w:rPr>
        <w:t>▍课程两个核心价值点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理论+实践】系统提升：借助黑海生态理论提升产业家的心智模式和创业创新能力，指导产业数字化转型的实践创新，兼具“理论高度”和“实践深度”。本课程聚焦实体产业数字化转型中的“真问题”，汇聚“头部力量、头部资源在一起”，培育数字化领军企业和领袖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2、【全方位】生态资源对接：全面整合生态资源，形成 “产-金-研-教-媒”（产业上下游资源/产业平台间资源、供应链金融资金/股权融资、课题研究/案例研究、人才培养、奖项评选/品牌宣传等）五维对接，为学员提供全链条的赋能服务。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0"/>
        <w:jc w:val="left"/>
        <w:rPr>
          <w:rFonts w:hint="eastAsia" w:ascii="微软雅黑" w:hAnsi="微软雅黑" w:eastAsia="微软雅黑" w:cs="微软雅黑"/>
          <w:i w:val="0"/>
          <w:iCs w:val="0"/>
          <w:caps w:val="0"/>
          <w:color w:val="333333"/>
          <w:spacing w:val="0"/>
        </w:rPr>
      </w:pPr>
      <w:r>
        <w:rPr>
          <w:rFonts w:hint="eastAsia" w:ascii="微软雅黑" w:hAnsi="微软雅黑" w:eastAsia="微软雅黑" w:cs="微软雅黑"/>
          <w:i w:val="0"/>
          <w:iCs w:val="0"/>
          <w:caps w:val="0"/>
          <w:color w:val="333333"/>
          <w:spacing w:val="0"/>
          <w:bdr w:val="none" w:color="auto" w:sz="0" w:space="0"/>
        </w:rPr>
        <w:t>▍什么是黑海生态？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黑海是地球上唯一一个双层海，底层海域盐分较高，缺少氧气和阳光，死气沉沉毫无生机，上层海域不断有淡水汇入，阳光氧气充足，适合生物生存。企业如果抓不住数字化转型的机遇，可能就会被湮没在数字化汹涌的浪潮之中，沉入海底；一旦抓住了机遇，就是向死而生，实现由底层海域向上层海域的层级跃迁，争取到企业发展的氧气和阳光，融入更高维度的生态空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0"/>
        <w:jc w:val="left"/>
        <w:rPr>
          <w:rFonts w:hint="eastAsia" w:ascii="微软雅黑" w:hAnsi="微软雅黑" w:eastAsia="微软雅黑" w:cs="微软雅黑"/>
          <w:i w:val="0"/>
          <w:iCs w:val="0"/>
          <w:caps w:val="0"/>
          <w:color w:val="333333"/>
          <w:spacing w:val="0"/>
        </w:rPr>
      </w:pPr>
      <w:r>
        <w:rPr>
          <w:rFonts w:hint="eastAsia" w:ascii="微软雅黑" w:hAnsi="微软雅黑" w:eastAsia="微软雅黑" w:cs="微软雅黑"/>
          <w:i w:val="0"/>
          <w:iCs w:val="0"/>
          <w:caps w:val="0"/>
          <w:color w:val="333333"/>
          <w:spacing w:val="0"/>
          <w:bdr w:val="none" w:color="auto" w:sz="0" w:space="0"/>
        </w:rPr>
        <w:t>▍本次研讨班收益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1、搭建思维框架：带领学员剖析全球经济形势与数字化发展生态环境和不同的路径选择，提升对数字时代敏锐度。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2、重塑数字化领导力：塑造数字化领导力所必须的认知、行为条件，全方位建立数字化领导者、战略制定者、数字化战略执行者和全体员工等三个层级的领导力。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3、转型价值定位：能够从客户服务切换到客户价值成功，以客户为中心进行数字化转型设计，与客户直接接触，收集客户行为，充分发掘商业价值，确保客户生命周期价值的实现；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4、数字化业务布局：将数字转型解码到客户的各组织各业务环节，各部门主动承担起数字化转型的任务，主动探寻数字化转型的可行路径；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5、利润捕捉：通过数字化设计为政企客户制定增量战略，详细规划各部门各业务环节的增量任务，帮助企业突破增长瓶颈，捕捉超额利润；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推动创造共享价值的组织变革：帮助客户将转型目标融入运营、文化和使命中；制定价值主张作为竞争差异化的来源；确立企业宗旨，通过应对挑战来推动股东价值；设计生态系统创新，满足投资界的新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7、数字化实施：通过“增长—运营—财务—生态—技术—客户价值—产品—人才”转型八大维度，实施数字化转型，打造物联网时代势胜的黑海生态。目标是建立客户内部和产业链之间的广泛互联，形成数据链和数据要素，从而在微观上做到提质、降本、增效，宏观上做到商业模式和经济形态的变革。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2125C4"/>
    <w:rsid w:val="2B212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2022-03-24T06:29:00Z</dcterms:created>
  <dc:creator>蓉儿</dc:creator>
  <cp:lastModifiedBy>蓉儿</cp:lastModifiedBy>
  <dcterms:modified xsi:type="dcterms:W3CDTF">2022-03-24T06:31:22Z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5CFD7513267942C0A619CAC07BC71536</vt:lpwstr>
  </property>
</Properties>
</file>