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13013D9" w14:textId="4C6454AD" w:rsidR="009C5285" w:rsidRPr="0036433E" w:rsidRDefault="002042B1" w:rsidP="005022D3">
      <w:pPr>
        <w:spacing w:line="360" w:lineRule="auto"/>
        <w:contextualSpacing/>
        <w:jc w:val="center"/>
        <w:rPr>
          <w:rFonts w:ascii="宋体" w:eastAsia="宋体" w:hAnsi="宋体"/>
          <w:b/>
          <w:bCs/>
          <w:color w:val="FF0000"/>
          <w:sz w:val="28"/>
          <w:szCs w:val="28"/>
        </w:rPr>
      </w:pPr>
      <w:bookmarkStart w:id="0" w:name="_GoBack"/>
      <w:r w:rsidRPr="0036433E">
        <w:rPr>
          <w:rFonts w:ascii="宋体" w:eastAsia="宋体" w:hAnsi="宋体" w:hint="eastAsia"/>
          <w:b/>
          <w:bCs/>
          <w:sz w:val="28"/>
          <w:szCs w:val="28"/>
        </w:rPr>
        <w:t>新形势下</w:t>
      </w:r>
      <w:r w:rsidR="000719F8" w:rsidRPr="0036433E">
        <w:rPr>
          <w:rFonts w:ascii="宋体" w:eastAsia="宋体" w:hAnsi="宋体" w:hint="eastAsia"/>
          <w:b/>
          <w:bCs/>
          <w:sz w:val="28"/>
          <w:szCs w:val="28"/>
        </w:rPr>
        <w:t>设计院转型</w:t>
      </w:r>
      <w:r w:rsidRPr="0036433E">
        <w:rPr>
          <w:rFonts w:ascii="宋体" w:eastAsia="宋体" w:hAnsi="宋体" w:hint="eastAsia"/>
          <w:b/>
          <w:bCs/>
          <w:sz w:val="28"/>
          <w:szCs w:val="28"/>
        </w:rPr>
        <w:t>工程总承包导入培训</w:t>
      </w:r>
    </w:p>
    <w:p w14:paraId="39309B3C" w14:textId="18C0304E" w:rsidR="002042B1" w:rsidRPr="00C15761" w:rsidRDefault="002042B1" w:rsidP="00280673">
      <w:pPr>
        <w:spacing w:line="360" w:lineRule="auto"/>
        <w:contextualSpacing/>
        <w:jc w:val="center"/>
        <w:rPr>
          <w:rFonts w:ascii="宋体" w:eastAsia="宋体" w:hAnsi="宋体"/>
          <w:sz w:val="28"/>
          <w:szCs w:val="28"/>
        </w:rPr>
      </w:pPr>
    </w:p>
    <w:p w14:paraId="28905E1B" w14:textId="4903524F" w:rsidR="006D7102" w:rsidRPr="00B77CBC" w:rsidRDefault="006D7102" w:rsidP="00AC3499">
      <w:pPr>
        <w:spacing w:line="360" w:lineRule="auto"/>
        <w:contextualSpacing/>
        <w:rPr>
          <w:rFonts w:ascii="宋体" w:eastAsia="宋体" w:hAnsi="宋体"/>
          <w:b/>
          <w:bCs/>
          <w:sz w:val="24"/>
          <w:szCs w:val="24"/>
        </w:rPr>
      </w:pPr>
      <w:r w:rsidRPr="00B77CBC">
        <w:rPr>
          <w:rFonts w:ascii="宋体" w:eastAsia="宋体" w:hAnsi="宋体" w:hint="eastAsia"/>
          <w:b/>
          <w:bCs/>
          <w:sz w:val="24"/>
          <w:szCs w:val="24"/>
        </w:rPr>
        <w:t>一、新形势下设计院的转型升级及工程总承包政策解析</w:t>
      </w:r>
    </w:p>
    <w:p w14:paraId="3EE22C8A" w14:textId="79C203BE" w:rsidR="009B284E" w:rsidRPr="00B77CBC" w:rsidRDefault="00A921DC" w:rsidP="00B77CBC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B77CBC">
        <w:rPr>
          <w:rFonts w:ascii="宋体" w:eastAsia="宋体" w:hAnsi="宋体" w:hint="eastAsia"/>
          <w:sz w:val="24"/>
          <w:szCs w:val="24"/>
        </w:rPr>
        <w:t>1、</w:t>
      </w:r>
      <w:r w:rsidR="009B284E" w:rsidRPr="00B77CBC">
        <w:rPr>
          <w:rFonts w:ascii="宋体" w:eastAsia="宋体" w:hAnsi="宋体"/>
          <w:sz w:val="24"/>
          <w:szCs w:val="24"/>
        </w:rPr>
        <w:t>国际与国内工程总承包发展趋势及热点</w:t>
      </w:r>
    </w:p>
    <w:p w14:paraId="4F9C2EB6" w14:textId="742AC5F6" w:rsidR="00E41888" w:rsidRPr="00B77CBC" w:rsidRDefault="00E41888" w:rsidP="00B77CBC">
      <w:pPr>
        <w:spacing w:line="360" w:lineRule="auto"/>
        <w:ind w:firstLineChars="400" w:firstLine="960"/>
        <w:contextualSpacing/>
        <w:rPr>
          <w:rFonts w:ascii="宋体" w:eastAsia="宋体" w:hAnsi="宋体"/>
          <w:sz w:val="24"/>
          <w:szCs w:val="24"/>
        </w:rPr>
      </w:pPr>
      <w:r w:rsidRPr="00B77CBC">
        <w:rPr>
          <w:rFonts w:ascii="宋体" w:eastAsia="宋体" w:hAnsi="宋体" w:hint="eastAsia"/>
          <w:sz w:val="24"/>
          <w:szCs w:val="24"/>
        </w:rPr>
        <w:t>1.1 国际工程总承包管理现状</w:t>
      </w:r>
    </w:p>
    <w:p w14:paraId="448D3EC1" w14:textId="44567402" w:rsidR="005543AD" w:rsidRPr="00B77CBC" w:rsidRDefault="00E41888" w:rsidP="00B77CBC">
      <w:pPr>
        <w:spacing w:line="360" w:lineRule="auto"/>
        <w:ind w:firstLineChars="400" w:firstLine="960"/>
        <w:contextualSpacing/>
        <w:rPr>
          <w:rFonts w:ascii="宋体" w:eastAsia="宋体" w:hAnsi="宋体"/>
          <w:sz w:val="24"/>
          <w:szCs w:val="24"/>
        </w:rPr>
      </w:pPr>
      <w:r w:rsidRPr="00B77CBC">
        <w:rPr>
          <w:rFonts w:ascii="宋体" w:eastAsia="宋体" w:hAnsi="宋体" w:hint="eastAsia"/>
          <w:sz w:val="24"/>
          <w:szCs w:val="24"/>
        </w:rPr>
        <w:t>1.2 我国工程总承包的发展趋势</w:t>
      </w:r>
    </w:p>
    <w:p w14:paraId="3E4B725E" w14:textId="68FDDA16" w:rsidR="00FF2DE1" w:rsidRPr="00B77CBC" w:rsidRDefault="00A921DC" w:rsidP="00B77CBC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B77CBC">
        <w:rPr>
          <w:rFonts w:ascii="宋体" w:eastAsia="宋体" w:hAnsi="宋体" w:hint="eastAsia"/>
          <w:sz w:val="24"/>
          <w:szCs w:val="24"/>
        </w:rPr>
        <w:t>2、</w:t>
      </w:r>
      <w:r w:rsidR="00FF2DE1" w:rsidRPr="00B77CBC">
        <w:rPr>
          <w:rFonts w:ascii="宋体" w:eastAsia="宋体" w:hAnsi="宋体" w:hint="eastAsia"/>
          <w:sz w:val="24"/>
          <w:szCs w:val="24"/>
        </w:rPr>
        <w:t>勘察设计院转型发展工程总承包的重要性、必要性</w:t>
      </w:r>
    </w:p>
    <w:p w14:paraId="4A9E79CD" w14:textId="505B695B" w:rsidR="00FF2DE1" w:rsidRPr="00B77CBC" w:rsidRDefault="00A921DC" w:rsidP="00B77CBC">
      <w:pPr>
        <w:spacing w:line="360" w:lineRule="auto"/>
        <w:ind w:firstLineChars="400" w:firstLine="960"/>
        <w:contextualSpacing/>
        <w:rPr>
          <w:rFonts w:ascii="宋体" w:eastAsia="宋体" w:hAnsi="宋体"/>
          <w:sz w:val="24"/>
          <w:szCs w:val="24"/>
        </w:rPr>
      </w:pPr>
      <w:r w:rsidRPr="00B77CBC">
        <w:rPr>
          <w:rFonts w:ascii="宋体" w:eastAsia="宋体" w:hAnsi="宋体" w:hint="eastAsia"/>
          <w:sz w:val="24"/>
          <w:szCs w:val="24"/>
        </w:rPr>
        <w:t>2</w:t>
      </w:r>
      <w:r w:rsidR="00FF2DE1" w:rsidRPr="00B77CBC">
        <w:rPr>
          <w:rFonts w:ascii="宋体" w:eastAsia="宋体" w:hAnsi="宋体" w:hint="eastAsia"/>
          <w:sz w:val="24"/>
          <w:szCs w:val="24"/>
        </w:rPr>
        <w:t>.</w:t>
      </w:r>
      <w:r w:rsidR="00E41888" w:rsidRPr="00B77CBC">
        <w:rPr>
          <w:rFonts w:ascii="宋体" w:eastAsia="宋体" w:hAnsi="宋体" w:hint="eastAsia"/>
          <w:sz w:val="24"/>
          <w:szCs w:val="24"/>
        </w:rPr>
        <w:t>1</w:t>
      </w:r>
      <w:r w:rsidR="00FF2DE1" w:rsidRPr="00B77CBC">
        <w:rPr>
          <w:rFonts w:ascii="宋体" w:eastAsia="宋体" w:hAnsi="宋体" w:hint="eastAsia"/>
          <w:sz w:val="24"/>
          <w:szCs w:val="24"/>
        </w:rPr>
        <w:t xml:space="preserve"> 勘察设计行业发展的热点与转型必要性</w:t>
      </w:r>
    </w:p>
    <w:p w14:paraId="20DC09F3" w14:textId="4F948E4D" w:rsidR="00FF2DE1" w:rsidRPr="00B77CBC" w:rsidRDefault="00A921DC" w:rsidP="00B77CBC">
      <w:pPr>
        <w:spacing w:line="360" w:lineRule="auto"/>
        <w:ind w:firstLineChars="400" w:firstLine="960"/>
        <w:contextualSpacing/>
        <w:rPr>
          <w:rFonts w:ascii="宋体" w:eastAsia="宋体" w:hAnsi="宋体"/>
          <w:sz w:val="24"/>
          <w:szCs w:val="24"/>
        </w:rPr>
      </w:pPr>
      <w:r w:rsidRPr="00B77CBC">
        <w:rPr>
          <w:rFonts w:ascii="宋体" w:eastAsia="宋体" w:hAnsi="宋体" w:hint="eastAsia"/>
          <w:sz w:val="24"/>
          <w:szCs w:val="24"/>
        </w:rPr>
        <w:t>2</w:t>
      </w:r>
      <w:r w:rsidR="00FF2DE1" w:rsidRPr="00B77CBC">
        <w:rPr>
          <w:rFonts w:ascii="宋体" w:eastAsia="宋体" w:hAnsi="宋体" w:hint="eastAsia"/>
          <w:sz w:val="24"/>
          <w:szCs w:val="24"/>
        </w:rPr>
        <w:t>.</w:t>
      </w:r>
      <w:r w:rsidR="00E41888" w:rsidRPr="00B77CBC">
        <w:rPr>
          <w:rFonts w:ascii="宋体" w:eastAsia="宋体" w:hAnsi="宋体" w:hint="eastAsia"/>
          <w:sz w:val="24"/>
          <w:szCs w:val="24"/>
        </w:rPr>
        <w:t>2</w:t>
      </w:r>
      <w:r w:rsidR="00FF2DE1" w:rsidRPr="00B77CBC">
        <w:rPr>
          <w:rFonts w:ascii="宋体" w:eastAsia="宋体" w:hAnsi="宋体" w:hint="eastAsia"/>
          <w:sz w:val="24"/>
          <w:szCs w:val="24"/>
        </w:rPr>
        <w:t xml:space="preserve"> 设计院转型优劣势分析</w:t>
      </w:r>
    </w:p>
    <w:p w14:paraId="7BD575B6" w14:textId="2CDD0A9B" w:rsidR="00FF2DE1" w:rsidRPr="00B77CBC" w:rsidRDefault="00A921DC" w:rsidP="00B77CBC">
      <w:pPr>
        <w:spacing w:line="360" w:lineRule="auto"/>
        <w:ind w:firstLineChars="400" w:firstLine="960"/>
        <w:contextualSpacing/>
        <w:rPr>
          <w:rFonts w:ascii="宋体" w:eastAsia="宋体" w:hAnsi="宋体"/>
          <w:sz w:val="24"/>
          <w:szCs w:val="24"/>
        </w:rPr>
      </w:pPr>
      <w:r w:rsidRPr="00B77CBC">
        <w:rPr>
          <w:rFonts w:ascii="宋体" w:eastAsia="宋体" w:hAnsi="宋体" w:hint="eastAsia"/>
          <w:sz w:val="24"/>
          <w:szCs w:val="24"/>
        </w:rPr>
        <w:t>2</w:t>
      </w:r>
      <w:r w:rsidR="00FF2DE1" w:rsidRPr="00B77CBC">
        <w:rPr>
          <w:rFonts w:ascii="宋体" w:eastAsia="宋体" w:hAnsi="宋体" w:hint="eastAsia"/>
          <w:sz w:val="24"/>
          <w:szCs w:val="24"/>
        </w:rPr>
        <w:t>.</w:t>
      </w:r>
      <w:r w:rsidR="00E41888" w:rsidRPr="00B77CBC">
        <w:rPr>
          <w:rFonts w:ascii="宋体" w:eastAsia="宋体" w:hAnsi="宋体" w:hint="eastAsia"/>
          <w:sz w:val="24"/>
          <w:szCs w:val="24"/>
        </w:rPr>
        <w:t>3</w:t>
      </w:r>
      <w:r w:rsidR="00FF2DE1" w:rsidRPr="00B77CBC">
        <w:rPr>
          <w:rFonts w:ascii="宋体" w:eastAsia="宋体" w:hAnsi="宋体" w:hint="eastAsia"/>
          <w:sz w:val="24"/>
          <w:szCs w:val="24"/>
        </w:rPr>
        <w:t xml:space="preserve"> 工程总承包业务发展的“三步走”思路</w:t>
      </w:r>
    </w:p>
    <w:p w14:paraId="05AA0ED9" w14:textId="16EA0C49" w:rsidR="00FF2DE1" w:rsidRPr="00B77CBC" w:rsidRDefault="00A921DC" w:rsidP="00B77CBC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B77CBC">
        <w:rPr>
          <w:rFonts w:ascii="宋体" w:eastAsia="宋体" w:hAnsi="宋体" w:hint="eastAsia"/>
          <w:sz w:val="24"/>
          <w:szCs w:val="24"/>
        </w:rPr>
        <w:t>4</w:t>
      </w:r>
      <w:r w:rsidR="0098273D" w:rsidRPr="00B77CBC">
        <w:rPr>
          <w:rFonts w:ascii="宋体" w:eastAsia="宋体" w:hAnsi="宋体" w:hint="eastAsia"/>
          <w:sz w:val="24"/>
          <w:szCs w:val="24"/>
        </w:rPr>
        <w:t>、</w:t>
      </w:r>
      <w:r w:rsidR="009B62D1" w:rsidRPr="00B77CBC">
        <w:rPr>
          <w:rFonts w:ascii="宋体" w:eastAsia="宋体" w:hAnsi="宋体" w:hint="eastAsia"/>
          <w:sz w:val="24"/>
          <w:szCs w:val="24"/>
        </w:rPr>
        <w:t>工程总承包政策解析</w:t>
      </w:r>
    </w:p>
    <w:p w14:paraId="53EDF372" w14:textId="48E6A296" w:rsidR="00FF2DE1" w:rsidRPr="00B77CBC" w:rsidRDefault="00A921DC" w:rsidP="00B77CBC">
      <w:pPr>
        <w:spacing w:line="360" w:lineRule="auto"/>
        <w:ind w:firstLineChars="400" w:firstLine="960"/>
        <w:contextualSpacing/>
        <w:rPr>
          <w:rFonts w:ascii="宋体" w:eastAsia="宋体" w:hAnsi="宋体"/>
          <w:sz w:val="24"/>
          <w:szCs w:val="24"/>
        </w:rPr>
      </w:pPr>
      <w:r w:rsidRPr="00B77CBC">
        <w:rPr>
          <w:rFonts w:ascii="宋体" w:eastAsia="宋体" w:hAnsi="宋体" w:hint="eastAsia"/>
          <w:sz w:val="24"/>
          <w:szCs w:val="24"/>
        </w:rPr>
        <w:t>4</w:t>
      </w:r>
      <w:r w:rsidR="0063797D" w:rsidRPr="00B77CBC">
        <w:rPr>
          <w:rFonts w:ascii="宋体" w:eastAsia="宋体" w:hAnsi="宋体" w:hint="eastAsia"/>
          <w:sz w:val="24"/>
          <w:szCs w:val="24"/>
        </w:rPr>
        <w:t>.1</w:t>
      </w:r>
      <w:r w:rsidR="0063797D" w:rsidRPr="00B77CBC">
        <w:rPr>
          <w:rFonts w:ascii="宋体" w:eastAsia="宋体" w:hAnsi="宋体"/>
          <w:sz w:val="24"/>
          <w:szCs w:val="24"/>
        </w:rPr>
        <w:t xml:space="preserve"> </w:t>
      </w:r>
      <w:r w:rsidR="00FF2DE1" w:rsidRPr="00B77CBC">
        <w:rPr>
          <w:rFonts w:ascii="宋体" w:eastAsia="宋体" w:hAnsi="宋体" w:hint="eastAsia"/>
          <w:sz w:val="24"/>
          <w:szCs w:val="24"/>
        </w:rPr>
        <w:t>国家政策对总包的指引</w:t>
      </w:r>
    </w:p>
    <w:p w14:paraId="6AA14802" w14:textId="15304EE6" w:rsidR="00FF2DE1" w:rsidRPr="00B77CBC" w:rsidRDefault="00A921DC" w:rsidP="00B77CBC">
      <w:pPr>
        <w:spacing w:line="360" w:lineRule="auto"/>
        <w:ind w:firstLineChars="400" w:firstLine="960"/>
        <w:contextualSpacing/>
        <w:rPr>
          <w:rFonts w:ascii="宋体" w:eastAsia="宋体" w:hAnsi="宋体"/>
          <w:sz w:val="24"/>
          <w:szCs w:val="24"/>
        </w:rPr>
      </w:pPr>
      <w:r w:rsidRPr="00B77CBC">
        <w:rPr>
          <w:rFonts w:ascii="宋体" w:eastAsia="宋体" w:hAnsi="宋体" w:hint="eastAsia"/>
          <w:sz w:val="24"/>
          <w:szCs w:val="24"/>
        </w:rPr>
        <w:t>4</w:t>
      </w:r>
      <w:r w:rsidR="0063797D" w:rsidRPr="00B77CBC">
        <w:rPr>
          <w:rFonts w:ascii="宋体" w:eastAsia="宋体" w:hAnsi="宋体" w:hint="eastAsia"/>
          <w:sz w:val="24"/>
          <w:szCs w:val="24"/>
        </w:rPr>
        <w:t>.2</w:t>
      </w:r>
      <w:r w:rsidR="0063797D" w:rsidRPr="00B77CBC">
        <w:rPr>
          <w:rFonts w:ascii="宋体" w:eastAsia="宋体" w:hAnsi="宋体"/>
          <w:sz w:val="24"/>
          <w:szCs w:val="24"/>
        </w:rPr>
        <w:t xml:space="preserve"> </w:t>
      </w:r>
      <w:r w:rsidR="00FF2DE1" w:rsidRPr="00B77CBC">
        <w:rPr>
          <w:rFonts w:ascii="宋体" w:eastAsia="宋体" w:hAnsi="宋体" w:hint="eastAsia"/>
          <w:sz w:val="24"/>
          <w:szCs w:val="24"/>
        </w:rPr>
        <w:t>PPP模式下的发展机遇</w:t>
      </w:r>
    </w:p>
    <w:p w14:paraId="48546EA2" w14:textId="7D6E7B09" w:rsidR="00FF2DE1" w:rsidRPr="00B77CBC" w:rsidRDefault="00A921DC" w:rsidP="00B77CBC">
      <w:pPr>
        <w:spacing w:line="360" w:lineRule="auto"/>
        <w:ind w:firstLineChars="400" w:firstLine="960"/>
        <w:contextualSpacing/>
        <w:rPr>
          <w:rFonts w:ascii="宋体" w:eastAsia="宋体" w:hAnsi="宋体"/>
          <w:sz w:val="24"/>
          <w:szCs w:val="24"/>
        </w:rPr>
      </w:pPr>
      <w:r w:rsidRPr="00B77CBC">
        <w:rPr>
          <w:rFonts w:ascii="宋体" w:eastAsia="宋体" w:hAnsi="宋体" w:hint="eastAsia"/>
          <w:sz w:val="24"/>
          <w:szCs w:val="24"/>
        </w:rPr>
        <w:t>4</w:t>
      </w:r>
      <w:r w:rsidR="0063797D" w:rsidRPr="00B77CBC">
        <w:rPr>
          <w:rFonts w:ascii="宋体" w:eastAsia="宋体" w:hAnsi="宋体" w:hint="eastAsia"/>
          <w:sz w:val="24"/>
          <w:szCs w:val="24"/>
        </w:rPr>
        <w:t>.3</w:t>
      </w:r>
      <w:r w:rsidR="0063797D" w:rsidRPr="00B77CBC">
        <w:rPr>
          <w:rFonts w:ascii="宋体" w:eastAsia="宋体" w:hAnsi="宋体"/>
          <w:sz w:val="24"/>
          <w:szCs w:val="24"/>
        </w:rPr>
        <w:t xml:space="preserve"> </w:t>
      </w:r>
      <w:r w:rsidR="00FF2DE1" w:rsidRPr="00B77CBC">
        <w:rPr>
          <w:rFonts w:ascii="宋体" w:eastAsia="宋体" w:hAnsi="宋体" w:hint="eastAsia"/>
          <w:sz w:val="24"/>
          <w:szCs w:val="24"/>
        </w:rPr>
        <w:t>国家总包政策</w:t>
      </w:r>
      <w:r w:rsidR="009B62D1" w:rsidRPr="00B77CBC">
        <w:rPr>
          <w:rFonts w:ascii="宋体" w:eastAsia="宋体" w:hAnsi="宋体" w:hint="eastAsia"/>
          <w:sz w:val="24"/>
          <w:szCs w:val="24"/>
        </w:rPr>
        <w:t>核心点</w:t>
      </w:r>
      <w:r w:rsidR="00FF2DE1" w:rsidRPr="00B77CBC">
        <w:rPr>
          <w:rFonts w:ascii="宋体" w:eastAsia="宋体" w:hAnsi="宋体" w:hint="eastAsia"/>
          <w:sz w:val="24"/>
          <w:szCs w:val="24"/>
        </w:rPr>
        <w:t>解读</w:t>
      </w:r>
    </w:p>
    <w:p w14:paraId="1F798315" w14:textId="61F65D41" w:rsidR="00FF2DE1" w:rsidRPr="00B77CBC" w:rsidRDefault="00A921DC" w:rsidP="00B77CBC">
      <w:pPr>
        <w:spacing w:line="360" w:lineRule="auto"/>
        <w:ind w:firstLineChars="400" w:firstLine="960"/>
        <w:contextualSpacing/>
        <w:rPr>
          <w:rFonts w:ascii="宋体" w:eastAsia="宋体" w:hAnsi="宋体"/>
          <w:sz w:val="24"/>
          <w:szCs w:val="24"/>
        </w:rPr>
      </w:pPr>
      <w:r w:rsidRPr="00B77CBC">
        <w:rPr>
          <w:rFonts w:ascii="宋体" w:eastAsia="宋体" w:hAnsi="宋体" w:hint="eastAsia"/>
          <w:sz w:val="24"/>
          <w:szCs w:val="24"/>
        </w:rPr>
        <w:t>4</w:t>
      </w:r>
      <w:r w:rsidR="0063797D" w:rsidRPr="00B77CBC">
        <w:rPr>
          <w:rFonts w:ascii="宋体" w:eastAsia="宋体" w:hAnsi="宋体" w:hint="eastAsia"/>
          <w:sz w:val="24"/>
          <w:szCs w:val="24"/>
        </w:rPr>
        <w:t>.4</w:t>
      </w:r>
      <w:r w:rsidR="0063797D" w:rsidRPr="00B77CBC">
        <w:rPr>
          <w:rFonts w:ascii="宋体" w:eastAsia="宋体" w:hAnsi="宋体"/>
          <w:sz w:val="24"/>
          <w:szCs w:val="24"/>
        </w:rPr>
        <w:t xml:space="preserve"> </w:t>
      </w:r>
      <w:r w:rsidR="00FF2DE1" w:rsidRPr="00B77CBC">
        <w:rPr>
          <w:rFonts w:ascii="宋体" w:eastAsia="宋体" w:hAnsi="宋体" w:hint="eastAsia"/>
          <w:sz w:val="24"/>
          <w:szCs w:val="24"/>
        </w:rPr>
        <w:t>各地方总包政策</w:t>
      </w:r>
      <w:r w:rsidR="009B62D1" w:rsidRPr="00B77CBC">
        <w:rPr>
          <w:rFonts w:ascii="宋体" w:eastAsia="宋体" w:hAnsi="宋体" w:hint="eastAsia"/>
          <w:sz w:val="24"/>
          <w:szCs w:val="24"/>
        </w:rPr>
        <w:t>核心点</w:t>
      </w:r>
      <w:r w:rsidR="00FF2DE1" w:rsidRPr="00B77CBC">
        <w:rPr>
          <w:rFonts w:ascii="宋体" w:eastAsia="宋体" w:hAnsi="宋体" w:hint="eastAsia"/>
          <w:sz w:val="24"/>
          <w:szCs w:val="24"/>
        </w:rPr>
        <w:t>解读</w:t>
      </w:r>
    </w:p>
    <w:p w14:paraId="4576F578" w14:textId="214D552E" w:rsidR="006D7102" w:rsidRPr="00B77CBC" w:rsidRDefault="006D7102" w:rsidP="00AC3499">
      <w:pPr>
        <w:spacing w:line="360" w:lineRule="auto"/>
        <w:contextualSpacing/>
        <w:rPr>
          <w:rFonts w:ascii="宋体" w:eastAsia="宋体" w:hAnsi="宋体"/>
          <w:b/>
          <w:bCs/>
          <w:sz w:val="24"/>
          <w:szCs w:val="24"/>
        </w:rPr>
      </w:pPr>
      <w:r w:rsidRPr="00B77CBC">
        <w:rPr>
          <w:rFonts w:ascii="宋体" w:eastAsia="宋体" w:hAnsi="宋体" w:hint="eastAsia"/>
          <w:b/>
          <w:bCs/>
          <w:sz w:val="24"/>
          <w:szCs w:val="24"/>
        </w:rPr>
        <w:t>二、工程总承包的特点、与设计差异及赢利模式与竞争力分析</w:t>
      </w:r>
    </w:p>
    <w:p w14:paraId="2998EC90" w14:textId="5943CDB3" w:rsidR="00562B27" w:rsidRPr="00B77CBC" w:rsidRDefault="004B3584" w:rsidP="00B77CBC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B77CBC">
        <w:rPr>
          <w:rFonts w:ascii="宋体" w:eastAsia="宋体" w:hAnsi="宋体" w:hint="eastAsia"/>
          <w:sz w:val="24"/>
          <w:szCs w:val="24"/>
        </w:rPr>
        <w:t>1、</w:t>
      </w:r>
      <w:r w:rsidR="00562B27" w:rsidRPr="00B77CBC">
        <w:rPr>
          <w:rFonts w:ascii="宋体" w:eastAsia="宋体" w:hAnsi="宋体" w:hint="eastAsia"/>
          <w:sz w:val="24"/>
          <w:szCs w:val="24"/>
        </w:rPr>
        <w:t>工程总承包适用的项目特点</w:t>
      </w:r>
    </w:p>
    <w:p w14:paraId="329295BE" w14:textId="535D5D15" w:rsidR="00562B27" w:rsidRPr="00B77CBC" w:rsidRDefault="004B3584" w:rsidP="00B77CBC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B77CBC">
        <w:rPr>
          <w:rFonts w:ascii="宋体" w:eastAsia="宋体" w:hAnsi="宋体" w:hint="eastAsia"/>
          <w:sz w:val="24"/>
          <w:szCs w:val="24"/>
        </w:rPr>
        <w:t>2、</w:t>
      </w:r>
      <w:r w:rsidR="005022D3" w:rsidRPr="00B77CBC">
        <w:rPr>
          <w:rFonts w:ascii="宋体" w:eastAsia="宋体" w:hAnsi="宋体" w:hint="eastAsia"/>
          <w:sz w:val="24"/>
          <w:szCs w:val="24"/>
        </w:rPr>
        <w:t>设计咨询与总包业务的差异及关系</w:t>
      </w:r>
    </w:p>
    <w:p w14:paraId="3FC8D2CF" w14:textId="3A91DEE2" w:rsidR="00ED474F" w:rsidRPr="00B77CBC" w:rsidRDefault="00ED474F" w:rsidP="00B77CBC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B77CBC">
        <w:rPr>
          <w:rFonts w:ascii="宋体" w:eastAsia="宋体" w:hAnsi="宋体" w:hint="eastAsia"/>
          <w:sz w:val="24"/>
          <w:szCs w:val="24"/>
        </w:rPr>
        <w:t>3、</w:t>
      </w:r>
      <w:r w:rsidR="00664308" w:rsidRPr="00B77CBC">
        <w:rPr>
          <w:rFonts w:ascii="宋体" w:eastAsia="宋体" w:hAnsi="宋体" w:hint="eastAsia"/>
          <w:sz w:val="24"/>
          <w:szCs w:val="24"/>
        </w:rPr>
        <w:t>工程总承包的</w:t>
      </w:r>
      <w:r w:rsidR="00C5508F" w:rsidRPr="00B77CBC">
        <w:rPr>
          <w:rFonts w:ascii="宋体" w:eastAsia="宋体" w:hAnsi="宋体" w:hint="eastAsia"/>
          <w:sz w:val="24"/>
          <w:szCs w:val="24"/>
        </w:rPr>
        <w:t>赢利模式分析</w:t>
      </w:r>
    </w:p>
    <w:p w14:paraId="09204CC9" w14:textId="031271A9" w:rsidR="00DD1BBE" w:rsidRPr="00B77CBC" w:rsidRDefault="00DD1BBE" w:rsidP="00B77CBC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B77CBC">
        <w:rPr>
          <w:rFonts w:ascii="宋体" w:eastAsia="宋体" w:hAnsi="宋体" w:hint="eastAsia"/>
          <w:sz w:val="24"/>
          <w:szCs w:val="24"/>
        </w:rPr>
        <w:t>4、工程总承包的两大过程管理及主要管控要点</w:t>
      </w:r>
    </w:p>
    <w:p w14:paraId="7FB3D741" w14:textId="7FE1860C" w:rsidR="006D7102" w:rsidRPr="00B77CBC" w:rsidRDefault="00C648BA" w:rsidP="00AC3499">
      <w:pPr>
        <w:spacing w:line="360" w:lineRule="auto"/>
        <w:contextualSpacing/>
        <w:rPr>
          <w:rFonts w:ascii="宋体" w:eastAsia="宋体" w:hAnsi="宋体"/>
          <w:b/>
          <w:bCs/>
          <w:sz w:val="24"/>
          <w:szCs w:val="24"/>
        </w:rPr>
      </w:pPr>
      <w:r w:rsidRPr="00B77CBC">
        <w:rPr>
          <w:rFonts w:ascii="宋体" w:eastAsia="宋体" w:hAnsi="宋体" w:hint="eastAsia"/>
          <w:b/>
          <w:bCs/>
          <w:sz w:val="24"/>
          <w:szCs w:val="24"/>
        </w:rPr>
        <w:t>三</w:t>
      </w:r>
      <w:r w:rsidR="006D7102" w:rsidRPr="00B77CBC">
        <w:rPr>
          <w:rFonts w:ascii="宋体" w:eastAsia="宋体" w:hAnsi="宋体" w:hint="eastAsia"/>
          <w:b/>
          <w:bCs/>
          <w:sz w:val="24"/>
          <w:szCs w:val="24"/>
        </w:rPr>
        <w:t>、工程总承包业务的企业及项目风险</w:t>
      </w:r>
      <w:proofErr w:type="gramStart"/>
      <w:r w:rsidR="006D7102" w:rsidRPr="00B77CBC">
        <w:rPr>
          <w:rFonts w:ascii="宋体" w:eastAsia="宋体" w:hAnsi="宋体" w:hint="eastAsia"/>
          <w:b/>
          <w:bCs/>
          <w:sz w:val="24"/>
          <w:szCs w:val="24"/>
        </w:rPr>
        <w:t>管控及应对</w:t>
      </w:r>
      <w:proofErr w:type="gramEnd"/>
      <w:r w:rsidR="006D7102" w:rsidRPr="00B77CBC">
        <w:rPr>
          <w:rFonts w:ascii="宋体" w:eastAsia="宋体" w:hAnsi="宋体" w:hint="eastAsia"/>
          <w:b/>
          <w:bCs/>
          <w:sz w:val="24"/>
          <w:szCs w:val="24"/>
        </w:rPr>
        <w:t>策略</w:t>
      </w:r>
    </w:p>
    <w:p w14:paraId="7CC6A643" w14:textId="726D08FF" w:rsidR="005022D3" w:rsidRPr="00B77CBC" w:rsidRDefault="004A67B4" w:rsidP="00B77CBC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B77CBC">
        <w:rPr>
          <w:rFonts w:ascii="宋体" w:eastAsia="宋体" w:hAnsi="宋体" w:hint="eastAsia"/>
          <w:sz w:val="24"/>
          <w:szCs w:val="24"/>
        </w:rPr>
        <w:t>1、</w:t>
      </w:r>
      <w:r w:rsidR="005022D3" w:rsidRPr="00B77CBC">
        <w:rPr>
          <w:rFonts w:ascii="宋体" w:eastAsia="宋体" w:hAnsi="宋体" w:hint="eastAsia"/>
          <w:sz w:val="24"/>
          <w:szCs w:val="24"/>
        </w:rPr>
        <w:t>企业风险应对策略</w:t>
      </w:r>
    </w:p>
    <w:p w14:paraId="1C02102E" w14:textId="5457AC52" w:rsidR="005022D3" w:rsidRPr="00B77CBC" w:rsidRDefault="004D400D" w:rsidP="00B77CBC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B77CBC">
        <w:rPr>
          <w:rFonts w:ascii="宋体" w:eastAsia="宋体" w:hAnsi="宋体" w:hint="eastAsia"/>
          <w:sz w:val="24"/>
          <w:szCs w:val="24"/>
        </w:rPr>
        <w:t>2、</w:t>
      </w:r>
      <w:r w:rsidR="005022D3" w:rsidRPr="00B77CBC">
        <w:rPr>
          <w:rFonts w:ascii="宋体" w:eastAsia="宋体" w:hAnsi="宋体" w:hint="eastAsia"/>
          <w:sz w:val="24"/>
          <w:szCs w:val="24"/>
        </w:rPr>
        <w:t>总包项目风险及应对策略</w:t>
      </w:r>
    </w:p>
    <w:p w14:paraId="3155D093" w14:textId="2F7B43F2" w:rsidR="006D7102" w:rsidRPr="00B77CBC" w:rsidRDefault="00C648BA" w:rsidP="00AC3499">
      <w:pPr>
        <w:spacing w:line="360" w:lineRule="auto"/>
        <w:contextualSpacing/>
        <w:rPr>
          <w:rFonts w:ascii="宋体" w:eastAsia="宋体" w:hAnsi="宋体"/>
          <w:b/>
          <w:bCs/>
          <w:sz w:val="24"/>
          <w:szCs w:val="24"/>
        </w:rPr>
      </w:pPr>
      <w:r w:rsidRPr="00B77CBC">
        <w:rPr>
          <w:rFonts w:ascii="宋体" w:eastAsia="宋体" w:hAnsi="宋体" w:hint="eastAsia"/>
          <w:b/>
          <w:bCs/>
          <w:sz w:val="24"/>
          <w:szCs w:val="24"/>
        </w:rPr>
        <w:t>四</w:t>
      </w:r>
      <w:r w:rsidR="006D7102" w:rsidRPr="00B77CBC">
        <w:rPr>
          <w:rFonts w:ascii="宋体" w:eastAsia="宋体" w:hAnsi="宋体" w:hint="eastAsia"/>
          <w:b/>
          <w:bCs/>
          <w:sz w:val="24"/>
          <w:szCs w:val="24"/>
        </w:rPr>
        <w:t>、</w:t>
      </w:r>
      <w:r w:rsidR="001C1A07" w:rsidRPr="00B77CBC">
        <w:rPr>
          <w:rFonts w:ascii="宋体" w:eastAsia="宋体" w:hAnsi="宋体" w:hint="eastAsia"/>
          <w:b/>
          <w:bCs/>
          <w:sz w:val="24"/>
          <w:szCs w:val="24"/>
        </w:rPr>
        <w:t>设计院转型工程总承包的</w:t>
      </w:r>
      <w:r w:rsidR="003B02B7" w:rsidRPr="00B77CBC">
        <w:rPr>
          <w:rFonts w:ascii="宋体" w:eastAsia="宋体" w:hAnsi="宋体" w:hint="eastAsia"/>
          <w:b/>
          <w:bCs/>
          <w:sz w:val="24"/>
          <w:szCs w:val="24"/>
        </w:rPr>
        <w:t>关键点</w:t>
      </w:r>
    </w:p>
    <w:p w14:paraId="0405A02E" w14:textId="66DEB50A" w:rsidR="004027C0" w:rsidRPr="00B77CBC" w:rsidRDefault="005D31C5" w:rsidP="00AC3499">
      <w:pPr>
        <w:spacing w:line="360" w:lineRule="auto"/>
        <w:contextualSpacing/>
        <w:rPr>
          <w:rFonts w:ascii="宋体" w:eastAsia="宋体" w:hAnsi="宋体"/>
          <w:b/>
          <w:bCs/>
          <w:sz w:val="24"/>
          <w:szCs w:val="24"/>
        </w:rPr>
      </w:pPr>
      <w:r w:rsidRPr="00B77CBC">
        <w:rPr>
          <w:rFonts w:ascii="宋体" w:eastAsia="宋体" w:hAnsi="宋体" w:hint="eastAsia"/>
          <w:b/>
          <w:bCs/>
          <w:sz w:val="24"/>
          <w:szCs w:val="24"/>
        </w:rPr>
        <w:t>五、</w:t>
      </w:r>
      <w:r w:rsidR="00F9657F" w:rsidRPr="00B77CBC">
        <w:rPr>
          <w:rFonts w:ascii="宋体" w:eastAsia="宋体" w:hAnsi="宋体" w:hint="eastAsia"/>
          <w:b/>
          <w:bCs/>
          <w:sz w:val="24"/>
          <w:szCs w:val="24"/>
        </w:rPr>
        <w:t>设计院转型工程总承包的建议</w:t>
      </w:r>
    </w:p>
    <w:p w14:paraId="2009DC35" w14:textId="45571AB6" w:rsidR="002042B1" w:rsidRPr="00B77CBC" w:rsidRDefault="00084EB1" w:rsidP="00AC3499">
      <w:pPr>
        <w:spacing w:line="360" w:lineRule="auto"/>
        <w:contextualSpacing/>
        <w:rPr>
          <w:rFonts w:ascii="宋体" w:eastAsia="宋体" w:hAnsi="宋体"/>
          <w:b/>
          <w:bCs/>
          <w:sz w:val="24"/>
          <w:szCs w:val="24"/>
        </w:rPr>
      </w:pPr>
      <w:r w:rsidRPr="00B77CBC">
        <w:rPr>
          <w:rFonts w:ascii="宋体" w:eastAsia="宋体" w:hAnsi="宋体" w:hint="eastAsia"/>
          <w:b/>
          <w:bCs/>
          <w:sz w:val="24"/>
          <w:szCs w:val="24"/>
        </w:rPr>
        <w:t>六</w:t>
      </w:r>
      <w:r w:rsidR="006D7102" w:rsidRPr="00B77CBC">
        <w:rPr>
          <w:rFonts w:ascii="宋体" w:eastAsia="宋体" w:hAnsi="宋体" w:hint="eastAsia"/>
          <w:b/>
          <w:bCs/>
          <w:sz w:val="24"/>
          <w:szCs w:val="24"/>
        </w:rPr>
        <w:t>、相关案例解析</w:t>
      </w:r>
      <w:bookmarkEnd w:id="0"/>
    </w:p>
    <w:sectPr w:rsidR="002042B1" w:rsidRPr="00B77C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ABD8357" w14:textId="77777777" w:rsidR="0070300B" w:rsidRDefault="0070300B" w:rsidP="002042B1">
      <w:r>
        <w:separator/>
      </w:r>
    </w:p>
  </w:endnote>
  <w:endnote w:type="continuationSeparator" w:id="0">
    <w:p w14:paraId="6CE6052F" w14:textId="77777777" w:rsidR="0070300B" w:rsidRDefault="0070300B" w:rsidP="002042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B67F4A7" w14:textId="77777777" w:rsidR="0070300B" w:rsidRDefault="0070300B" w:rsidP="002042B1">
      <w:r>
        <w:separator/>
      </w:r>
    </w:p>
  </w:footnote>
  <w:footnote w:type="continuationSeparator" w:id="0">
    <w:p w14:paraId="26136A57" w14:textId="77777777" w:rsidR="0070300B" w:rsidRDefault="0070300B" w:rsidP="002042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10E5"/>
    <w:rsid w:val="0002261F"/>
    <w:rsid w:val="000719F8"/>
    <w:rsid w:val="00084EB1"/>
    <w:rsid w:val="0009316F"/>
    <w:rsid w:val="000B58F9"/>
    <w:rsid w:val="001664CD"/>
    <w:rsid w:val="00185F6B"/>
    <w:rsid w:val="001C1A07"/>
    <w:rsid w:val="002042B1"/>
    <w:rsid w:val="0027205A"/>
    <w:rsid w:val="00276A26"/>
    <w:rsid w:val="00280673"/>
    <w:rsid w:val="00311BC4"/>
    <w:rsid w:val="0036433E"/>
    <w:rsid w:val="003B02B7"/>
    <w:rsid w:val="004027C0"/>
    <w:rsid w:val="004A67B4"/>
    <w:rsid w:val="004B3584"/>
    <w:rsid w:val="004D400D"/>
    <w:rsid w:val="004F690A"/>
    <w:rsid w:val="005022D3"/>
    <w:rsid w:val="005543AD"/>
    <w:rsid w:val="00562B27"/>
    <w:rsid w:val="005D2635"/>
    <w:rsid w:val="005D31C5"/>
    <w:rsid w:val="0063797D"/>
    <w:rsid w:val="00664308"/>
    <w:rsid w:val="006A205D"/>
    <w:rsid w:val="006A4C8B"/>
    <w:rsid w:val="006D7102"/>
    <w:rsid w:val="0070300B"/>
    <w:rsid w:val="00704364"/>
    <w:rsid w:val="007510E5"/>
    <w:rsid w:val="0098273D"/>
    <w:rsid w:val="009B284E"/>
    <w:rsid w:val="009B62D1"/>
    <w:rsid w:val="009C5285"/>
    <w:rsid w:val="00A06A3B"/>
    <w:rsid w:val="00A921DC"/>
    <w:rsid w:val="00AC3499"/>
    <w:rsid w:val="00B31199"/>
    <w:rsid w:val="00B77CBC"/>
    <w:rsid w:val="00B77E00"/>
    <w:rsid w:val="00C15761"/>
    <w:rsid w:val="00C5508F"/>
    <w:rsid w:val="00C648BA"/>
    <w:rsid w:val="00DD1BBE"/>
    <w:rsid w:val="00E41888"/>
    <w:rsid w:val="00E8634D"/>
    <w:rsid w:val="00EB2FA6"/>
    <w:rsid w:val="00EC0E2A"/>
    <w:rsid w:val="00ED474F"/>
    <w:rsid w:val="00EF2A5D"/>
    <w:rsid w:val="00F9657F"/>
    <w:rsid w:val="00FF2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5B8888A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042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042B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042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042B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042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042B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042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042B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66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62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8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85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4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89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94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75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49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53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64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36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27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4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66</Words>
  <Characters>382</Characters>
  <Application>Microsoft Office Word</Application>
  <DocSecurity>0</DocSecurity>
  <Lines>3</Lines>
  <Paragraphs>1</Paragraphs>
  <ScaleCrop>false</ScaleCrop>
  <Company/>
  <LinksUpToDate>false</LinksUpToDate>
  <CharactersWithSpaces>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 尚华</dc:creator>
  <cp:keywords/>
  <dc:description/>
  <cp:lastModifiedBy>杨尚华</cp:lastModifiedBy>
  <cp:revision>50</cp:revision>
  <dcterms:created xsi:type="dcterms:W3CDTF">2020-12-18T01:44:00Z</dcterms:created>
  <dcterms:modified xsi:type="dcterms:W3CDTF">2022-03-06T11:48:00Z</dcterms:modified>
</cp:coreProperties>
</file>