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微软雅黑" w:hAnsi="微软雅黑" w:eastAsia="微软雅黑" w:cs="微软雅黑"/>
          <w:b/>
          <w:bCs/>
          <w:sz w:val="24"/>
        </w:rPr>
      </w:pPr>
      <w:bookmarkStart w:id="10" w:name="_GoBack"/>
      <w:bookmarkEnd w:id="10"/>
      <w:r>
        <w:rPr>
          <w:rFonts w:hint="eastAsia" w:ascii="微软雅黑" w:hAnsi="微软雅黑" w:eastAsia="微软雅黑"/>
          <w:b/>
          <w:sz w:val="36"/>
        </w:rPr>
        <w:t>标杆房企工程管理之穿插施工管理要点及实战案例</w:t>
      </w:r>
    </w:p>
    <w:p>
      <w:pPr>
        <w:spacing w:line="480" w:lineRule="auto"/>
        <w:rPr>
          <w:rFonts w:hint="eastAsia" w:ascii="微软雅黑" w:hAnsi="微软雅黑" w:eastAsia="微软雅黑" w:cs="微软雅黑"/>
          <w:b/>
          <w:bCs/>
          <w:color w:val="FFFFFF"/>
          <w:sz w:val="24"/>
        </w:rPr>
      </w:pPr>
      <w:r>
        <w:rPr>
          <w:rFonts w:hint="eastAsia" w:ascii="微软雅黑" w:hAnsi="微软雅黑" w:eastAsia="微软雅黑" w:cs="微软雅黑"/>
          <w:b/>
          <w:bCs/>
          <w:color w:val="FFFFFF"/>
          <w:sz w:val="24"/>
          <w:highlight w:val="black"/>
        </w:rPr>
        <w:t>【课程背景】</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在当前房地产行业中，标杆房企在推行工程穿插提效快速施工，但很多房企工程管理人员并不知道标杆房企为何要推行穿插施工，总认为穿插施工是为了高周转，错误的理解了穿插施工的真正内涵。在工程管理过程中，缺乏穿插施工体系化管理经验，纯凭个人经验推进穿插施工，从施工单位进入现场后才开始着手组织工程穿插施工的安排布置，刚开始的时候总包还虚与委蛇，等到精装单位进场后，才发现穿插施工根本不是想当然那么回事，强行推行穿插施工又导致一个作业面上各工种工序交叉施工，天天矛盾冲突，质量问题频发，经常出现返工。本想压缩工期，结果到交付时才发现工期并未缩减，而且项目存在重大工程质量隐患，交付后无法正常运营，维修成本高企，开始时的穿插施工部署完全失效。</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企业如何帮助员工在体系管理层面上更好的掌握穿插施工管理之道，提升管理视角，拓宽管理能力，并逐步提升专业管理水平，使之具备进行穿插提效快速施工的管理能力，是我们面对的人才培养管理挑战。穿插施工提效管理，要从施工过程管理逐步提升到产品管理思路上来。需要在拿地初始就要进行项目通盘穿插施工策划，强调产品逻辑和标准，从设计前端入手，锁定材料部品招采成本标准，提高产品工厂化率，提高工人施工工效，减少施工现场过程人工管理要求，让产品一开始就做对做好。</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穿插施工管理需要涵盖产品定位、产品标准、产销平衡、产品采购、成本限额、供方选择、过程管理、产品验收、成品保护、直到产品交付和维保修的产品全生命周期穿插施工管理。工程管理专业作为产品的最终制造和呈现者，如何站在项目流程化管理的视角，大流水分期和总平施工部署，小流水施工工序工艺组织，避免产品进度、质量、成本的目标冲突，协同平衡各专业和甲乙方的标准不一致，是保证穿插施工在项目平稳落地的关键；</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穿插施工管理有关的实际操作案例进行情景解剖，导出能够适合大多数地产企业确保工程交付质量前提下，大幅提升施工速度的管理思路和技巧，以及切实落地的手段及措施。</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80" w:lineRule="auto"/>
        <w:rPr>
          <w:rFonts w:hint="eastAsia" w:ascii="微软雅黑" w:hAnsi="微软雅黑" w:eastAsia="微软雅黑" w:cs="微软雅黑"/>
          <w:b/>
          <w:bCs/>
          <w:color w:val="FFFFFF"/>
          <w:sz w:val="24"/>
        </w:rPr>
      </w:pPr>
      <w:r>
        <w:rPr>
          <w:rFonts w:hint="eastAsia" w:ascii="微软雅黑" w:hAnsi="微软雅黑" w:eastAsia="微软雅黑" w:cs="微软雅黑"/>
          <w:b/>
          <w:bCs/>
          <w:color w:val="FFFFFF"/>
          <w:sz w:val="24"/>
          <w:highlight w:val="black"/>
        </w:rPr>
        <w:t>【课程收益】</w:t>
      </w:r>
    </w:p>
    <w:p>
      <w:pPr>
        <w:numPr>
          <w:ilvl w:val="0"/>
          <w:numId w:val="1"/>
        </w:numPr>
        <w:spacing w:line="480" w:lineRule="exact"/>
        <w:ind w:left="709" w:hanging="284"/>
        <w:rPr>
          <w:rFonts w:hint="eastAsia" w:ascii="微软雅黑" w:hAnsi="微软雅黑" w:eastAsia="微软雅黑" w:cs="微软雅黑"/>
          <w:sz w:val="24"/>
        </w:rPr>
      </w:pPr>
      <w:bookmarkStart w:id="0" w:name="_Hlk118302037"/>
      <w:r>
        <w:rPr>
          <w:rFonts w:hint="eastAsia" w:ascii="微软雅黑" w:hAnsi="微软雅黑" w:eastAsia="微软雅黑" w:cs="微软雅黑"/>
          <w:sz w:val="24"/>
        </w:rPr>
        <w:t>深刻理解穿插施工管理之道，提前完成穿插策划，压缩关键线路工期，提升非关键线路效益；</w:t>
      </w:r>
    </w:p>
    <w:p>
      <w:pPr>
        <w:numPr>
          <w:ilvl w:val="0"/>
          <w:numId w:val="1"/>
        </w:numPr>
        <w:spacing w:line="480" w:lineRule="exact"/>
        <w:ind w:left="709" w:hanging="284"/>
        <w:rPr>
          <w:rFonts w:ascii="微软雅黑" w:hAnsi="微软雅黑" w:eastAsia="微软雅黑" w:cs="微软雅黑"/>
          <w:sz w:val="24"/>
        </w:rPr>
      </w:pPr>
      <w:r>
        <w:rPr>
          <w:rFonts w:hint="eastAsia" w:ascii="微软雅黑" w:hAnsi="微软雅黑" w:eastAsia="微软雅黑" w:cs="微软雅黑"/>
          <w:sz w:val="24"/>
        </w:rPr>
        <w:t>理解掌握穿插施工管理产品设计前端需要预控的穿插问题和风险点以及预控手段措施；</w:t>
      </w:r>
    </w:p>
    <w:p>
      <w:pPr>
        <w:numPr>
          <w:ilvl w:val="0"/>
          <w:numId w:val="1"/>
        </w:numPr>
        <w:spacing w:line="480" w:lineRule="exact"/>
        <w:ind w:left="709" w:hanging="284"/>
        <w:rPr>
          <w:rFonts w:hint="eastAsia" w:ascii="微软雅黑" w:hAnsi="微软雅黑" w:eastAsia="微软雅黑" w:cs="微软雅黑"/>
          <w:sz w:val="24"/>
        </w:rPr>
      </w:pPr>
      <w:r>
        <w:rPr>
          <w:rFonts w:hint="eastAsia" w:ascii="微软雅黑" w:hAnsi="微软雅黑" w:eastAsia="微软雅黑" w:cs="微软雅黑"/>
          <w:sz w:val="24"/>
        </w:rPr>
        <w:t>理解掌握穿插施工管理产品成本招采前端需要预控的穿插问题和风险点以及预控手段措施；</w:t>
      </w:r>
    </w:p>
    <w:p>
      <w:pPr>
        <w:numPr>
          <w:ilvl w:val="0"/>
          <w:numId w:val="1"/>
        </w:numPr>
        <w:spacing w:line="480" w:lineRule="exact"/>
        <w:ind w:left="709" w:hanging="284"/>
        <w:rPr>
          <w:rFonts w:ascii="微软雅黑" w:hAnsi="微软雅黑" w:eastAsia="微软雅黑" w:cs="微软雅黑"/>
          <w:sz w:val="24"/>
        </w:rPr>
      </w:pPr>
      <w:r>
        <w:rPr>
          <w:rFonts w:hint="eastAsia" w:ascii="微软雅黑" w:hAnsi="微软雅黑" w:eastAsia="微软雅黑" w:cs="微软雅黑"/>
          <w:sz w:val="24"/>
        </w:rPr>
        <w:t>理解掌握穿插施工管理产品工程管理过程需要预控的问题和风险点以及预控手段措施，针对项目实际情况及公司现有资源制定合理的全周期工程进度计划和穿插施工计划，以确保在保证客户关注质量的前提下，如何快速施工，穿插提效。</w:t>
      </w:r>
    </w:p>
    <w:p>
      <w:pPr>
        <w:spacing w:line="480" w:lineRule="auto"/>
        <w:rPr>
          <w:rFonts w:hint="eastAsia" w:ascii="微软雅黑" w:hAnsi="微软雅黑" w:eastAsia="微软雅黑" w:cs="微软雅黑"/>
          <w:b/>
          <w:bCs/>
          <w:color w:val="FFFFFF"/>
          <w:sz w:val="24"/>
          <w:highlight w:val="black"/>
        </w:rPr>
      </w:pPr>
      <w:r>
        <w:rPr>
          <w:rFonts w:hint="eastAsia" w:ascii="微软雅黑" w:hAnsi="微软雅黑" w:eastAsia="微软雅黑" w:cs="微软雅黑"/>
          <w:b/>
          <w:bCs/>
          <w:color w:val="FFFFFF"/>
          <w:sz w:val="24"/>
          <w:highlight w:val="black"/>
        </w:rPr>
        <w:t>【课程对象】</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房地产企业董事长、总经理、总工、集团分管工程副总、项目总经理、工程总监、工程部经理成本总监、成本部经理、工程部经理、造价工程师等。</w:t>
      </w:r>
    </w:p>
    <w:bookmarkEnd w:id="0"/>
    <w:p>
      <w:pPr>
        <w:spacing w:line="480" w:lineRule="auto"/>
        <w:rPr>
          <w:rFonts w:hint="eastAsia" w:ascii="微软雅黑" w:hAnsi="微软雅黑" w:eastAsia="微软雅黑" w:cs="微软雅黑"/>
          <w:b/>
          <w:bCs/>
          <w:color w:val="FFFFFF"/>
          <w:sz w:val="24"/>
        </w:rPr>
      </w:pPr>
      <w:r>
        <w:rPr>
          <w:rFonts w:hint="eastAsia" w:ascii="微软雅黑" w:hAnsi="微软雅黑" w:eastAsia="微软雅黑" w:cs="微软雅黑"/>
          <w:b/>
          <w:bCs/>
          <w:color w:val="FFFFFF"/>
          <w:sz w:val="24"/>
          <w:highlight w:val="black"/>
        </w:rPr>
        <w:t>【课程大纲】</w:t>
      </w: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第一部分：穿插施工管理现状和困惑</w:t>
      </w:r>
    </w:p>
    <w:p>
      <w:pPr>
        <w:pStyle w:val="30"/>
        <w:numPr>
          <w:ilvl w:val="1"/>
          <w:numId w:val="2"/>
        </w:numPr>
        <w:ind w:left="851" w:firstLine="0" w:firstLineChars="0"/>
        <w:rPr>
          <w:rFonts w:ascii="微软雅黑" w:hAnsi="微软雅黑" w:eastAsia="微软雅黑"/>
          <w:b/>
          <w:sz w:val="24"/>
        </w:rPr>
      </w:pPr>
      <w:r>
        <w:rPr>
          <w:rFonts w:hint="eastAsia" w:ascii="微软雅黑" w:hAnsi="微软雅黑" w:eastAsia="微软雅黑"/>
          <w:b/>
          <w:sz w:val="24"/>
        </w:rPr>
        <w:t>我们是否经常遇到这样的问题和困惑？</w:t>
      </w:r>
    </w:p>
    <w:p>
      <w:pPr>
        <w:pStyle w:val="30"/>
        <w:numPr>
          <w:ilvl w:val="2"/>
          <w:numId w:val="3"/>
        </w:numPr>
        <w:ind w:left="851" w:firstLine="0" w:firstLineChars="0"/>
        <w:rPr>
          <w:rFonts w:ascii="微软雅黑" w:hAnsi="微软雅黑" w:eastAsia="微软雅黑"/>
          <w:b/>
          <w:sz w:val="24"/>
        </w:rPr>
      </w:pPr>
      <w:r>
        <w:rPr>
          <w:rFonts w:hint="eastAsia" w:ascii="微软雅黑" w:hAnsi="微软雅黑" w:eastAsia="微软雅黑"/>
          <w:b/>
          <w:sz w:val="24"/>
        </w:rPr>
        <w:t>从项目启动到开工到过程管理都按照普通项目计划组织，缺乏穿插施工统筹，除了结构施工外，建筑机电和精装工序都无法正常插入；</w:t>
      </w:r>
    </w:p>
    <w:p>
      <w:pPr>
        <w:pStyle w:val="30"/>
        <w:numPr>
          <w:ilvl w:val="2"/>
          <w:numId w:val="3"/>
        </w:numPr>
        <w:ind w:left="851" w:firstLine="0" w:firstLineChars="0"/>
        <w:rPr>
          <w:rFonts w:ascii="微软雅黑" w:hAnsi="微软雅黑" w:eastAsia="微软雅黑"/>
          <w:b/>
          <w:sz w:val="24"/>
        </w:rPr>
      </w:pPr>
      <w:r>
        <w:rPr>
          <w:rFonts w:hint="eastAsia" w:ascii="微软雅黑" w:hAnsi="微软雅黑" w:eastAsia="微软雅黑"/>
          <w:b/>
          <w:sz w:val="24"/>
        </w:rPr>
        <w:t>在同一个作业面上，各工种、各工艺和各工序交叉施工，经常发生矛盾和冲突，各不相让；</w:t>
      </w:r>
    </w:p>
    <w:p>
      <w:pPr>
        <w:pStyle w:val="30"/>
        <w:numPr>
          <w:ilvl w:val="2"/>
          <w:numId w:val="3"/>
        </w:numPr>
        <w:ind w:left="851" w:firstLine="0" w:firstLineChars="0"/>
        <w:rPr>
          <w:rFonts w:ascii="微软雅黑" w:hAnsi="微软雅黑" w:eastAsia="微软雅黑"/>
          <w:b/>
          <w:sz w:val="24"/>
        </w:rPr>
      </w:pPr>
      <w:r>
        <w:rPr>
          <w:rFonts w:hint="eastAsia" w:ascii="微软雅黑" w:hAnsi="微软雅黑" w:eastAsia="微软雅黑"/>
          <w:b/>
          <w:sz w:val="24"/>
        </w:rPr>
        <w:t>天气影响、疫情防控、政策要求和现场环境等各种客观条件对穿插施工组织有很大影响；</w:t>
      </w:r>
    </w:p>
    <w:p>
      <w:pPr>
        <w:pStyle w:val="30"/>
        <w:numPr>
          <w:ilvl w:val="2"/>
          <w:numId w:val="3"/>
        </w:numPr>
        <w:ind w:left="851" w:firstLine="0" w:firstLineChars="0"/>
        <w:rPr>
          <w:rFonts w:ascii="微软雅黑" w:hAnsi="微软雅黑" w:eastAsia="微软雅黑"/>
          <w:b/>
          <w:sz w:val="24"/>
        </w:rPr>
      </w:pPr>
      <w:r>
        <w:rPr>
          <w:rFonts w:hint="eastAsia" w:ascii="微软雅黑" w:hAnsi="微软雅黑" w:eastAsia="微软雅黑"/>
          <w:b/>
          <w:sz w:val="24"/>
        </w:rPr>
        <w:t>供方建材采购渠道分散，进场验收以次充好，物料堆放损坏变质，物料堆场周转率低，水平垂直运输跟不上施工进度要求；</w:t>
      </w:r>
    </w:p>
    <w:p>
      <w:pPr>
        <w:pStyle w:val="30"/>
        <w:numPr>
          <w:ilvl w:val="2"/>
          <w:numId w:val="3"/>
        </w:numPr>
        <w:ind w:left="851" w:firstLine="0" w:firstLineChars="0"/>
        <w:rPr>
          <w:rFonts w:ascii="微软雅黑" w:hAnsi="微软雅黑" w:eastAsia="微软雅黑"/>
          <w:b/>
          <w:sz w:val="24"/>
        </w:rPr>
      </w:pPr>
      <w:r>
        <w:rPr>
          <w:rFonts w:hint="eastAsia" w:ascii="微软雅黑" w:hAnsi="微软雅黑" w:eastAsia="微软雅黑"/>
          <w:b/>
          <w:sz w:val="24"/>
        </w:rPr>
        <w:t>工程施工组织常常出现返工，材料供应和人员机械配备难以与实际施工需要相匹配</w:t>
      </w:r>
      <w:r>
        <w:rPr>
          <w:rFonts w:hint="eastAsia" w:ascii="微软雅黑" w:hAnsi="微软雅黑" w:eastAsia="微软雅黑"/>
          <w:b/>
          <w:bCs/>
          <w:sz w:val="24"/>
        </w:rPr>
        <w:t>；</w:t>
      </w:r>
    </w:p>
    <w:p>
      <w:pPr>
        <w:pStyle w:val="30"/>
        <w:numPr>
          <w:ilvl w:val="2"/>
          <w:numId w:val="3"/>
        </w:numPr>
        <w:ind w:left="851" w:firstLine="0" w:firstLineChars="0"/>
        <w:rPr>
          <w:rFonts w:ascii="微软雅黑" w:hAnsi="微软雅黑" w:eastAsia="微软雅黑"/>
          <w:b/>
          <w:sz w:val="24"/>
        </w:rPr>
      </w:pPr>
      <w:r>
        <w:rPr>
          <w:rFonts w:hint="eastAsia" w:ascii="微软雅黑" w:hAnsi="微软雅黑" w:eastAsia="微软雅黑"/>
          <w:b/>
          <w:sz w:val="24"/>
        </w:rPr>
        <w:t>工程质量达不到验收标准，交付存在重大工程质量隐患，客户使用和运维存在较多卡点。</w:t>
      </w:r>
    </w:p>
    <w:p>
      <w:pPr>
        <w:pStyle w:val="30"/>
        <w:numPr>
          <w:ilvl w:val="1"/>
          <w:numId w:val="2"/>
        </w:numPr>
        <w:ind w:left="851" w:firstLine="0" w:firstLineChars="0"/>
        <w:rPr>
          <w:rFonts w:ascii="微软雅黑" w:hAnsi="微软雅黑" w:eastAsia="微软雅黑"/>
          <w:b/>
          <w:sz w:val="24"/>
        </w:rPr>
      </w:pPr>
      <w:r>
        <w:rPr>
          <w:rFonts w:hint="eastAsia" w:ascii="微软雅黑" w:hAnsi="微软雅黑" w:eastAsia="微软雅黑"/>
          <w:b/>
          <w:sz w:val="24"/>
        </w:rPr>
        <w:t>建立流程化的穿插施工协同体系；甲方管理原因导致的现场矛盾：专业间的矛盾/甲乙方间的矛盾；跨专业协同/目标标准协同；</w:t>
      </w:r>
    </w:p>
    <w:p>
      <w:pPr>
        <w:pStyle w:val="30"/>
        <w:numPr>
          <w:ilvl w:val="1"/>
          <w:numId w:val="2"/>
        </w:numPr>
        <w:ind w:left="851" w:firstLine="0" w:firstLineChars="0"/>
        <w:rPr>
          <w:rFonts w:ascii="微软雅黑" w:hAnsi="微软雅黑" w:eastAsia="微软雅黑"/>
          <w:b/>
          <w:sz w:val="24"/>
        </w:rPr>
      </w:pPr>
      <w:r>
        <w:rPr>
          <w:rFonts w:hint="eastAsia" w:ascii="微软雅黑" w:hAnsi="微软雅黑" w:eastAsia="微软雅黑"/>
          <w:b/>
          <w:sz w:val="24"/>
        </w:rPr>
        <w:t>穿插施工管理之道：目标定标准/协同建流程/能力要提高；</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第二部分：保交付穿插工程策划</w:t>
      </w:r>
    </w:p>
    <w:p>
      <w:pPr>
        <w:pStyle w:val="30"/>
        <w:numPr>
          <w:ilvl w:val="0"/>
          <w:numId w:val="4"/>
        </w:numPr>
        <w:ind w:firstLineChars="0"/>
        <w:jc w:val="left"/>
        <w:rPr>
          <w:rFonts w:hint="eastAsia" w:ascii="微软雅黑" w:hAnsi="微软雅黑" w:eastAsia="微软雅黑"/>
          <w:b/>
          <w:bCs/>
          <w:sz w:val="24"/>
        </w:rPr>
      </w:pPr>
      <w:r>
        <w:rPr>
          <w:rFonts w:hint="eastAsia" w:ascii="微软雅黑" w:hAnsi="微软雅黑" w:eastAsia="微软雅黑"/>
          <w:b/>
          <w:bCs/>
          <w:sz w:val="24"/>
        </w:rPr>
        <w:t>保交付穿插施工产品质量管理观点：产品全周期客户满意质量；质量标准是基于产品全周期客户满意的综合效益最大化；；产品质量问题在设计前端就存在；产品高易建性，质量零缺陷；保交付阶段没有整改工期；预控源头是设计部门；高层管理者承担90%责任；</w:t>
      </w:r>
    </w:p>
    <w:p>
      <w:pPr>
        <w:pStyle w:val="30"/>
        <w:numPr>
          <w:ilvl w:val="0"/>
          <w:numId w:val="4"/>
        </w:numPr>
        <w:ind w:firstLineChars="0"/>
        <w:jc w:val="left"/>
        <w:rPr>
          <w:rFonts w:hint="eastAsia" w:ascii="微软雅黑" w:hAnsi="微软雅黑" w:eastAsia="微软雅黑"/>
          <w:b/>
          <w:bCs/>
          <w:sz w:val="24"/>
        </w:rPr>
      </w:pPr>
      <w:r>
        <w:rPr>
          <w:rFonts w:hint="eastAsia" w:ascii="微软雅黑" w:hAnsi="微软雅黑" w:eastAsia="微软雅黑"/>
          <w:b/>
          <w:bCs/>
          <w:sz w:val="24"/>
        </w:rPr>
        <w:t>保交付穿插施工策划先行：产品交付目标策划；产品质量标准策划；产品设计标准策划；产品成本招采策划；产品工程施工策划；产品验收交付策划；</w:t>
      </w:r>
    </w:p>
    <w:p>
      <w:pPr>
        <w:pStyle w:val="30"/>
        <w:numPr>
          <w:ilvl w:val="0"/>
          <w:numId w:val="5"/>
        </w:numPr>
        <w:ind w:firstLineChars="0"/>
        <w:jc w:val="left"/>
        <w:rPr>
          <w:rFonts w:hint="eastAsia" w:ascii="微软雅黑" w:hAnsi="微软雅黑" w:eastAsia="微软雅黑"/>
          <w:b/>
          <w:bCs/>
          <w:sz w:val="24"/>
        </w:rPr>
      </w:pPr>
      <w:r>
        <w:rPr>
          <w:rFonts w:hint="eastAsia" w:ascii="微软雅黑" w:hAnsi="微软雅黑" w:eastAsia="微软雅黑"/>
          <w:b/>
          <w:bCs/>
          <w:sz w:val="24"/>
        </w:rPr>
        <w:t>案例：保交付穿插施工策划例题</w:t>
      </w:r>
    </w:p>
    <w:p>
      <w:pPr>
        <w:pStyle w:val="30"/>
        <w:numPr>
          <w:ilvl w:val="0"/>
          <w:numId w:val="4"/>
        </w:numPr>
        <w:ind w:firstLineChars="0"/>
        <w:jc w:val="left"/>
        <w:rPr>
          <w:rFonts w:hint="eastAsia" w:ascii="微软雅黑" w:hAnsi="微软雅黑" w:eastAsia="微软雅黑"/>
          <w:b/>
          <w:bCs/>
          <w:sz w:val="24"/>
        </w:rPr>
      </w:pPr>
      <w:r>
        <w:rPr>
          <w:rFonts w:hint="eastAsia" w:ascii="微软雅黑" w:hAnsi="微软雅黑" w:eastAsia="微软雅黑"/>
          <w:b/>
          <w:bCs/>
          <w:sz w:val="24"/>
        </w:rPr>
        <w:t>产品交付目标策划：交付目标清晰；项目分期均衡；开发顺序合理；交付分界简洁；交付永临结合；交付施工便捷</w:t>
      </w:r>
    </w:p>
    <w:p>
      <w:pPr>
        <w:pStyle w:val="30"/>
        <w:numPr>
          <w:ilvl w:val="0"/>
          <w:numId w:val="5"/>
        </w:numPr>
        <w:ind w:firstLineChars="0"/>
        <w:jc w:val="left"/>
        <w:rPr>
          <w:rFonts w:ascii="微软雅黑" w:hAnsi="微软雅黑" w:eastAsia="微软雅黑"/>
          <w:b/>
          <w:bCs/>
          <w:sz w:val="24"/>
        </w:rPr>
      </w:pPr>
      <w:r>
        <w:rPr>
          <w:rFonts w:hint="eastAsia" w:ascii="微软雅黑" w:hAnsi="微软雅黑" w:eastAsia="微软雅黑"/>
          <w:b/>
          <w:bCs/>
          <w:sz w:val="24"/>
        </w:rPr>
        <w:t>案例：施工总平面布置管理——合理便捷案例</w:t>
      </w:r>
    </w:p>
    <w:p>
      <w:pPr>
        <w:pStyle w:val="30"/>
        <w:numPr>
          <w:ilvl w:val="0"/>
          <w:numId w:val="5"/>
        </w:numPr>
        <w:ind w:firstLineChars="0"/>
        <w:jc w:val="left"/>
        <w:rPr>
          <w:rFonts w:ascii="微软雅黑" w:hAnsi="微软雅黑" w:eastAsia="微软雅黑"/>
          <w:b/>
          <w:bCs/>
          <w:sz w:val="24"/>
        </w:rPr>
      </w:pPr>
      <w:r>
        <w:rPr>
          <w:rFonts w:hint="eastAsia" w:ascii="微软雅黑" w:hAnsi="微软雅黑" w:eastAsia="微软雅黑"/>
          <w:b/>
          <w:bCs/>
          <w:sz w:val="24"/>
        </w:rPr>
        <w:t>例题：战术地图平面布置风险例题</w:t>
      </w:r>
    </w:p>
    <w:p>
      <w:pPr>
        <w:pStyle w:val="30"/>
        <w:numPr>
          <w:ilvl w:val="0"/>
          <w:numId w:val="5"/>
        </w:numPr>
        <w:ind w:firstLineChars="0"/>
        <w:jc w:val="left"/>
        <w:rPr>
          <w:rFonts w:hint="eastAsia" w:ascii="微软雅黑" w:hAnsi="微软雅黑" w:eastAsia="微软雅黑"/>
          <w:b/>
          <w:bCs/>
          <w:sz w:val="24"/>
        </w:rPr>
      </w:pPr>
      <w:r>
        <w:rPr>
          <w:rFonts w:hint="eastAsia" w:ascii="微软雅黑" w:hAnsi="微软雅黑" w:eastAsia="微软雅黑"/>
          <w:b/>
          <w:bCs/>
          <w:sz w:val="24"/>
        </w:rPr>
        <w:t>案例：施工总平结合项目分期战术地图排布案例</w:t>
      </w:r>
    </w:p>
    <w:p>
      <w:pPr>
        <w:pStyle w:val="30"/>
        <w:numPr>
          <w:ilvl w:val="0"/>
          <w:numId w:val="4"/>
        </w:numPr>
        <w:ind w:firstLineChars="0"/>
        <w:jc w:val="left"/>
        <w:rPr>
          <w:rFonts w:ascii="微软雅黑" w:hAnsi="微软雅黑" w:eastAsia="微软雅黑"/>
          <w:b/>
          <w:bCs/>
          <w:sz w:val="24"/>
        </w:rPr>
      </w:pPr>
      <w:r>
        <w:rPr>
          <w:rFonts w:hint="eastAsia" w:ascii="微软雅黑" w:hAnsi="微软雅黑" w:eastAsia="微软雅黑"/>
          <w:b/>
          <w:bCs/>
          <w:sz w:val="24"/>
        </w:rPr>
        <w:t>保交付产品质量目标策划：零渗漏；零空鼓；零开裂；零外窗；零户门；零水暖；</w:t>
      </w:r>
    </w:p>
    <w:p>
      <w:pPr>
        <w:pStyle w:val="30"/>
        <w:numPr>
          <w:ilvl w:val="0"/>
          <w:numId w:val="5"/>
        </w:numPr>
        <w:ind w:firstLineChars="0"/>
        <w:jc w:val="left"/>
        <w:rPr>
          <w:rFonts w:hint="eastAsia" w:ascii="微软雅黑" w:hAnsi="微软雅黑" w:eastAsia="微软雅黑"/>
          <w:b/>
          <w:bCs/>
          <w:sz w:val="24"/>
        </w:rPr>
      </w:pPr>
      <w:r>
        <w:rPr>
          <w:rFonts w:hint="eastAsia" w:ascii="微软雅黑" w:hAnsi="微软雅黑" w:eastAsia="微软雅黑"/>
          <w:b/>
          <w:bCs/>
          <w:sz w:val="24"/>
        </w:rPr>
        <w:t>例题：保交付产品质量目标策划例题</w:t>
      </w:r>
    </w:p>
    <w:p>
      <w:pPr>
        <w:pStyle w:val="30"/>
        <w:numPr>
          <w:ilvl w:val="0"/>
          <w:numId w:val="4"/>
        </w:numPr>
        <w:ind w:firstLineChars="0"/>
        <w:jc w:val="left"/>
        <w:rPr>
          <w:rFonts w:hint="eastAsia" w:ascii="微软雅黑" w:hAnsi="微软雅黑" w:eastAsia="微软雅黑"/>
          <w:b/>
          <w:bCs/>
          <w:sz w:val="24"/>
        </w:rPr>
      </w:pPr>
      <w:r>
        <w:rPr>
          <w:rFonts w:hint="eastAsia" w:ascii="微软雅黑" w:hAnsi="微软雅黑" w:eastAsia="微软雅黑"/>
          <w:b/>
          <w:bCs/>
          <w:sz w:val="24"/>
        </w:rPr>
        <w:t>保交付产品设计标准策划：设计产品化；户型标准化；立面标准化；示范区标准化；一体综合化；节点标准化；做法标准化；深化四图；材料标准化；部品标准化；样板标准化；交付标准化；外墙全现浇；核心筒现浇；管井全现浇；内墙免砌筑；内墙免抹灰；高精免地坪；</w:t>
      </w:r>
    </w:p>
    <w:p>
      <w:pPr>
        <w:pStyle w:val="30"/>
        <w:numPr>
          <w:ilvl w:val="0"/>
          <w:numId w:val="4"/>
        </w:numPr>
        <w:ind w:firstLineChars="0"/>
        <w:jc w:val="left"/>
        <w:rPr>
          <w:rFonts w:ascii="微软雅黑" w:hAnsi="微软雅黑" w:eastAsia="微软雅黑"/>
          <w:b/>
          <w:bCs/>
          <w:sz w:val="24"/>
        </w:rPr>
      </w:pPr>
      <w:r>
        <w:rPr>
          <w:rFonts w:hint="eastAsia" w:ascii="微软雅黑" w:hAnsi="微软雅黑" w:eastAsia="微软雅黑"/>
          <w:b/>
          <w:bCs/>
          <w:sz w:val="24"/>
        </w:rPr>
        <w:t>保交付招采成本策划：设计供方标准化；采购合同标准化；合约界面标准化；战略合作标准化；供方信誉档案库；材料部品样板库；部品选型标准化；成本模型标准化；进场计划标准化；市场价格前置化；材料供应区域化；示范区采购独立；</w:t>
      </w:r>
    </w:p>
    <w:p>
      <w:pPr>
        <w:pStyle w:val="30"/>
        <w:numPr>
          <w:ilvl w:val="0"/>
          <w:numId w:val="4"/>
        </w:numPr>
        <w:ind w:firstLineChars="0"/>
        <w:jc w:val="left"/>
        <w:rPr>
          <w:rFonts w:hint="eastAsia" w:ascii="微软雅黑" w:hAnsi="微软雅黑" w:eastAsia="微软雅黑"/>
          <w:b/>
          <w:bCs/>
          <w:sz w:val="24"/>
        </w:rPr>
      </w:pPr>
      <w:r>
        <w:rPr>
          <w:rFonts w:hint="eastAsia" w:ascii="微软雅黑" w:hAnsi="微软雅黑" w:eastAsia="微软雅黑"/>
          <w:b/>
          <w:bCs/>
          <w:sz w:val="24"/>
        </w:rPr>
        <w:t>保交付工程施工策划：材料部品标准化；施工工序标准化；施工工艺标准化；施工工时标准化；管理要求标准化；验收动作标准化；交付管理标准化；产品维保标准化；大流水施工部署；小流水工序组织；穿插施工自下而上；金属模板爬架；减预留增预埋；减材料增部品；减现场增工厂；减手工增机械；减管理增效益；</w:t>
      </w:r>
    </w:p>
    <w:p>
      <w:pPr>
        <w:pStyle w:val="30"/>
        <w:numPr>
          <w:ilvl w:val="0"/>
          <w:numId w:val="4"/>
        </w:numPr>
        <w:ind w:firstLineChars="0"/>
        <w:jc w:val="left"/>
        <w:rPr>
          <w:rFonts w:hint="eastAsia" w:ascii="微软雅黑" w:hAnsi="微软雅黑" w:eastAsia="微软雅黑"/>
          <w:b/>
          <w:bCs/>
          <w:sz w:val="24"/>
        </w:rPr>
      </w:pPr>
      <w:r>
        <w:rPr>
          <w:rFonts w:hint="eastAsia" w:ascii="微软雅黑" w:hAnsi="微软雅黑" w:eastAsia="微软雅黑"/>
          <w:b/>
          <w:bCs/>
          <w:sz w:val="24"/>
        </w:rPr>
        <w:t>保交付验收交付策划：了解政策绿色通道；办好施工合法手续；政府领导挂职项目；提前沟通验收时点；施工质量创优；做好专项验收交底；争取验收绿色通道；过程质量验收免检；专项验收提前实施；具备条件提前验收；提前做好交付准备；交付质量客户满意；</w:t>
      </w:r>
    </w:p>
    <w:p>
      <w:pPr>
        <w:pStyle w:val="30"/>
        <w:numPr>
          <w:ilvl w:val="0"/>
          <w:numId w:val="5"/>
        </w:numPr>
        <w:ind w:firstLineChars="0"/>
        <w:jc w:val="left"/>
        <w:rPr>
          <w:rFonts w:hint="eastAsia" w:ascii="微软雅黑" w:hAnsi="微软雅黑" w:eastAsia="微软雅黑"/>
          <w:b/>
          <w:bCs/>
          <w:sz w:val="24"/>
        </w:rPr>
      </w:pPr>
      <w:r>
        <w:rPr>
          <w:rFonts w:hint="eastAsia" w:ascii="微软雅黑" w:hAnsi="微软雅黑" w:eastAsia="微软雅黑"/>
          <w:b/>
          <w:bCs/>
          <w:sz w:val="24"/>
        </w:rPr>
        <w:t>案例：工程验收交付程序突破沟通缺失例题</w:t>
      </w:r>
    </w:p>
    <w:p>
      <w:pPr>
        <w:pStyle w:val="30"/>
        <w:numPr>
          <w:ilvl w:val="0"/>
          <w:numId w:val="4"/>
        </w:numPr>
        <w:ind w:firstLineChars="0"/>
        <w:jc w:val="left"/>
        <w:rPr>
          <w:rFonts w:hint="eastAsia" w:ascii="微软雅黑" w:hAnsi="微软雅黑" w:eastAsia="微软雅黑"/>
          <w:b/>
          <w:bCs/>
          <w:sz w:val="24"/>
        </w:rPr>
      </w:pPr>
      <w:r>
        <w:rPr>
          <w:rFonts w:hint="eastAsia" w:ascii="微软雅黑" w:hAnsi="微软雅黑" w:eastAsia="微软雅黑"/>
          <w:b/>
          <w:bCs/>
          <w:sz w:val="24"/>
        </w:rPr>
        <w:t>保交付穿插施工策划先行：产品交付目标策划；产品质量标准策划；产品设计标准策划；产品工程施工策划；产品验收交付策划；</w:t>
      </w:r>
    </w:p>
    <w:p>
      <w:pPr>
        <w:pStyle w:val="30"/>
        <w:numPr>
          <w:ilvl w:val="0"/>
          <w:numId w:val="4"/>
        </w:numPr>
        <w:ind w:firstLineChars="0"/>
        <w:jc w:val="left"/>
        <w:rPr>
          <w:rFonts w:hint="eastAsia" w:ascii="微软雅黑" w:hAnsi="微软雅黑" w:eastAsia="微软雅黑"/>
          <w:b/>
          <w:bCs/>
          <w:sz w:val="24"/>
        </w:rPr>
      </w:pPr>
      <w:r>
        <w:rPr>
          <w:rFonts w:hint="eastAsia" w:ascii="微软雅黑" w:hAnsi="微软雅黑" w:eastAsia="微软雅黑"/>
          <w:b/>
          <w:bCs/>
          <w:sz w:val="24"/>
        </w:rPr>
        <w:t>小结：明确交付目标；确认质量标准；锁定设计标准；成本招采协同；工程施工穿插；</w:t>
      </w:r>
    </w:p>
    <w:p>
      <w:pPr>
        <w:pStyle w:val="30"/>
        <w:numPr>
          <w:ilvl w:val="0"/>
          <w:numId w:val="4"/>
        </w:numPr>
        <w:ind w:firstLineChars="0"/>
        <w:jc w:val="left"/>
        <w:rPr>
          <w:rFonts w:ascii="微软雅黑" w:hAnsi="微软雅黑" w:eastAsia="微软雅黑"/>
          <w:b/>
          <w:bCs/>
          <w:sz w:val="24"/>
        </w:rPr>
      </w:pPr>
      <w:r>
        <w:rPr>
          <w:rFonts w:hint="eastAsia" w:ascii="微软雅黑" w:hAnsi="微软雅黑" w:eastAsia="微软雅黑"/>
          <w:b/>
          <w:bCs/>
          <w:sz w:val="24"/>
        </w:rPr>
        <w:t>分组</w:t>
      </w:r>
      <w:r>
        <w:rPr>
          <w:rFonts w:ascii="微软雅黑" w:hAnsi="微软雅黑" w:eastAsia="微软雅黑"/>
          <w:b/>
          <w:bCs/>
          <w:sz w:val="24"/>
        </w:rPr>
        <w:t>讨论与交流</w:t>
      </w:r>
    </w:p>
    <w:p>
      <w:pPr>
        <w:spacing w:line="480" w:lineRule="exact"/>
        <w:ind w:firstLine="120" w:firstLineChars="50"/>
        <w:rPr>
          <w:rFonts w:hint="eastAsia" w:ascii="微软雅黑" w:hAnsi="微软雅黑" w:eastAsia="微软雅黑" w:cs="微软雅黑"/>
          <w:b/>
          <w:bCs/>
          <w:color w:val="FF0000"/>
          <w:sz w:val="24"/>
        </w:rPr>
      </w:pPr>
      <w:r>
        <w:rPr>
          <w:rFonts w:hint="eastAsia" w:ascii="微软雅黑" w:hAnsi="微软雅黑" w:eastAsia="微软雅黑" w:cs="微软雅黑"/>
          <w:b/>
          <w:color w:val="FF0000"/>
          <w:sz w:val="24"/>
        </w:rPr>
        <w:t>第三部分：</w:t>
      </w:r>
      <w:r>
        <w:rPr>
          <w:rFonts w:hint="eastAsia" w:ascii="微软雅黑" w:hAnsi="微软雅黑" w:eastAsia="微软雅黑" w:cs="微软雅黑"/>
          <w:b/>
          <w:bCs/>
          <w:color w:val="FF0000"/>
          <w:sz w:val="24"/>
        </w:rPr>
        <w:t>保交付穿插计划管理</w:t>
      </w:r>
    </w:p>
    <w:p>
      <w:pPr>
        <w:pStyle w:val="30"/>
        <w:numPr>
          <w:ilvl w:val="0"/>
          <w:numId w:val="6"/>
        </w:numPr>
        <w:ind w:firstLineChars="0"/>
        <w:jc w:val="left"/>
        <w:rPr>
          <w:rFonts w:hint="eastAsia" w:ascii="微软雅黑" w:hAnsi="微软雅黑" w:eastAsia="微软雅黑"/>
          <w:b/>
          <w:bCs/>
          <w:sz w:val="24"/>
        </w:rPr>
      </w:pPr>
      <w:r>
        <w:rPr>
          <w:rFonts w:hint="eastAsia" w:ascii="微软雅黑" w:hAnsi="微软雅黑" w:eastAsia="微软雅黑"/>
          <w:b/>
          <w:bCs/>
          <w:sz w:val="24"/>
        </w:rPr>
        <w:t>标杆企业合理工期；保证符合生产客观规律；合理施工管理间歇；合理施工技术间歇；</w:t>
      </w:r>
    </w:p>
    <w:p>
      <w:pPr>
        <w:pStyle w:val="30"/>
        <w:numPr>
          <w:ilvl w:val="0"/>
          <w:numId w:val="6"/>
        </w:numPr>
        <w:ind w:firstLineChars="0"/>
        <w:jc w:val="left"/>
        <w:rPr>
          <w:rFonts w:hint="eastAsia" w:ascii="微软雅黑" w:hAnsi="微软雅黑" w:eastAsia="微软雅黑"/>
          <w:b/>
          <w:bCs/>
          <w:sz w:val="24"/>
        </w:rPr>
      </w:pPr>
      <w:r>
        <w:rPr>
          <w:rFonts w:hint="eastAsia" w:ascii="微软雅黑" w:hAnsi="微软雅黑" w:eastAsia="微软雅黑"/>
          <w:b/>
          <w:bCs/>
          <w:sz w:val="24"/>
        </w:rPr>
        <w:t>标杆企业“抢工期” 措施：材料类“抢工” 措施；技术类“抢工”措施；管理类“抢工”措施；</w:t>
      </w:r>
    </w:p>
    <w:p>
      <w:pPr>
        <w:pStyle w:val="30"/>
        <w:numPr>
          <w:ilvl w:val="0"/>
          <w:numId w:val="7"/>
        </w:numPr>
        <w:ind w:firstLineChars="0"/>
        <w:jc w:val="left"/>
        <w:rPr>
          <w:rFonts w:ascii="微软雅黑" w:hAnsi="微软雅黑" w:eastAsia="微软雅黑"/>
          <w:b/>
          <w:bCs/>
          <w:sz w:val="24"/>
        </w:rPr>
      </w:pPr>
      <w:r>
        <w:rPr>
          <w:rFonts w:hint="eastAsia" w:ascii="微软雅黑" w:hAnsi="微软雅黑" w:eastAsia="微软雅黑"/>
          <w:b/>
          <w:bCs/>
          <w:sz w:val="24"/>
        </w:rPr>
        <w:t>案例：三种施工方式对比案例</w:t>
      </w:r>
    </w:p>
    <w:p>
      <w:pPr>
        <w:pStyle w:val="30"/>
        <w:numPr>
          <w:ilvl w:val="0"/>
          <w:numId w:val="6"/>
        </w:numPr>
        <w:ind w:firstLineChars="0"/>
        <w:jc w:val="left"/>
        <w:rPr>
          <w:rFonts w:hint="eastAsia" w:ascii="微软雅黑" w:hAnsi="微软雅黑" w:eastAsia="微软雅黑"/>
          <w:b/>
          <w:bCs/>
          <w:sz w:val="24"/>
        </w:rPr>
      </w:pPr>
      <w:r>
        <w:rPr>
          <w:rFonts w:hint="eastAsia" w:ascii="微软雅黑" w:hAnsi="微软雅黑" w:eastAsia="微软雅黑"/>
          <w:b/>
          <w:bCs/>
          <w:sz w:val="24"/>
        </w:rPr>
        <w:t>制定合理最短工期：合理编排工序穿插；实现周期均衡流水施工；密切配合营销节点；</w:t>
      </w:r>
    </w:p>
    <w:p>
      <w:pPr>
        <w:pStyle w:val="30"/>
        <w:numPr>
          <w:ilvl w:val="0"/>
          <w:numId w:val="7"/>
        </w:numPr>
        <w:ind w:firstLineChars="0"/>
        <w:jc w:val="left"/>
        <w:rPr>
          <w:rFonts w:ascii="微软雅黑" w:hAnsi="微软雅黑" w:eastAsia="微软雅黑"/>
          <w:b/>
          <w:bCs/>
          <w:sz w:val="24"/>
        </w:rPr>
      </w:pPr>
      <w:r>
        <w:rPr>
          <w:rFonts w:hint="eastAsia" w:ascii="微软雅黑" w:hAnsi="微软雅黑" w:eastAsia="微软雅黑"/>
          <w:b/>
          <w:bCs/>
          <w:sz w:val="24"/>
        </w:rPr>
        <w:t>案例：穿插施工提效模型案例——目标——提效20%（3个延长1个缩短）</w:t>
      </w:r>
    </w:p>
    <w:p>
      <w:pPr>
        <w:pStyle w:val="30"/>
        <w:numPr>
          <w:ilvl w:val="0"/>
          <w:numId w:val="7"/>
        </w:numPr>
        <w:ind w:firstLineChars="0"/>
        <w:jc w:val="left"/>
        <w:rPr>
          <w:rFonts w:ascii="微软雅黑" w:hAnsi="微软雅黑" w:eastAsia="微软雅黑"/>
          <w:b/>
          <w:bCs/>
          <w:sz w:val="24"/>
        </w:rPr>
      </w:pPr>
      <w:r>
        <w:rPr>
          <w:rFonts w:hint="eastAsia" w:ascii="微软雅黑" w:hAnsi="微软雅黑" w:eastAsia="微软雅黑"/>
          <w:b/>
          <w:bCs/>
          <w:sz w:val="24"/>
        </w:rPr>
        <w:t>案例：标准工期360天案例</w:t>
      </w:r>
    </w:p>
    <w:p>
      <w:pPr>
        <w:pStyle w:val="30"/>
        <w:numPr>
          <w:ilvl w:val="0"/>
          <w:numId w:val="7"/>
        </w:numPr>
        <w:ind w:firstLineChars="0"/>
        <w:jc w:val="left"/>
        <w:rPr>
          <w:rFonts w:hint="eastAsia" w:ascii="微软雅黑" w:hAnsi="微软雅黑" w:eastAsia="微软雅黑"/>
          <w:b/>
          <w:bCs/>
          <w:sz w:val="24"/>
        </w:rPr>
      </w:pPr>
      <w:r>
        <w:rPr>
          <w:rFonts w:hint="eastAsia" w:ascii="微软雅黑" w:hAnsi="微软雅黑" w:eastAsia="微软雅黑"/>
          <w:b/>
          <w:bCs/>
          <w:sz w:val="24"/>
        </w:rPr>
        <w:t>案例：标准工期（360天）关键线路横道图案例</w:t>
      </w:r>
    </w:p>
    <w:p>
      <w:pPr>
        <w:pStyle w:val="30"/>
        <w:numPr>
          <w:ilvl w:val="0"/>
          <w:numId w:val="6"/>
        </w:numPr>
        <w:ind w:firstLineChars="0"/>
        <w:jc w:val="left"/>
        <w:rPr>
          <w:rFonts w:ascii="微软雅黑" w:hAnsi="微软雅黑" w:eastAsia="微软雅黑"/>
          <w:b/>
          <w:bCs/>
          <w:sz w:val="24"/>
        </w:rPr>
      </w:pPr>
      <w:r>
        <w:rPr>
          <w:rFonts w:hint="eastAsia" w:ascii="微软雅黑" w:hAnsi="微软雅黑" w:eastAsia="微软雅黑"/>
          <w:b/>
          <w:bCs/>
          <w:sz w:val="24"/>
        </w:rPr>
        <w:t>关键线路—地下室施工（73d）</w:t>
      </w:r>
    </w:p>
    <w:p>
      <w:pPr>
        <w:pStyle w:val="30"/>
        <w:numPr>
          <w:ilvl w:val="0"/>
          <w:numId w:val="6"/>
        </w:numPr>
        <w:ind w:firstLineChars="0"/>
        <w:jc w:val="left"/>
        <w:rPr>
          <w:rFonts w:ascii="微软雅黑" w:hAnsi="微软雅黑" w:eastAsia="微软雅黑"/>
          <w:b/>
          <w:bCs/>
          <w:sz w:val="24"/>
        </w:rPr>
      </w:pPr>
      <w:r>
        <w:rPr>
          <w:rFonts w:hint="eastAsia" w:ascii="微软雅黑" w:hAnsi="微软雅黑" w:eastAsia="微软雅黑"/>
          <w:b/>
          <w:bCs/>
          <w:sz w:val="24"/>
        </w:rPr>
        <w:t>主体结构小流水施工（163天）</w:t>
      </w:r>
    </w:p>
    <w:p>
      <w:pPr>
        <w:pStyle w:val="30"/>
        <w:numPr>
          <w:ilvl w:val="0"/>
          <w:numId w:val="8"/>
        </w:numPr>
        <w:ind w:firstLineChars="0"/>
        <w:jc w:val="left"/>
        <w:rPr>
          <w:rFonts w:hint="eastAsia" w:ascii="微软雅黑" w:hAnsi="微软雅黑" w:eastAsia="微软雅黑"/>
          <w:b/>
          <w:bCs/>
          <w:sz w:val="24"/>
        </w:rPr>
      </w:pPr>
      <w:r>
        <w:rPr>
          <w:rFonts w:hint="eastAsia" w:ascii="微软雅黑" w:hAnsi="微软雅黑" w:eastAsia="微软雅黑"/>
          <w:b/>
          <w:bCs/>
          <w:sz w:val="24"/>
        </w:rPr>
        <w:t>案例：结构平面穿插流水施工</w:t>
      </w:r>
    </w:p>
    <w:p>
      <w:pPr>
        <w:pStyle w:val="30"/>
        <w:numPr>
          <w:ilvl w:val="0"/>
          <w:numId w:val="6"/>
        </w:numPr>
        <w:ind w:firstLineChars="0"/>
        <w:jc w:val="left"/>
        <w:rPr>
          <w:rFonts w:ascii="微软雅黑" w:hAnsi="微软雅黑" w:eastAsia="微软雅黑"/>
          <w:b/>
          <w:bCs/>
          <w:sz w:val="24"/>
        </w:rPr>
      </w:pPr>
      <w:r>
        <w:rPr>
          <w:rFonts w:hint="eastAsia" w:ascii="微软雅黑" w:hAnsi="微软雅黑" w:eastAsia="微软雅黑"/>
          <w:b/>
          <w:bCs/>
          <w:sz w:val="24"/>
        </w:rPr>
        <w:t>结构平面穿插流水施工</w:t>
      </w:r>
    </w:p>
    <w:p>
      <w:pPr>
        <w:pStyle w:val="30"/>
        <w:numPr>
          <w:ilvl w:val="0"/>
          <w:numId w:val="6"/>
        </w:numPr>
        <w:ind w:firstLineChars="0"/>
        <w:jc w:val="left"/>
        <w:rPr>
          <w:rFonts w:ascii="微软雅黑" w:hAnsi="微软雅黑" w:eastAsia="微软雅黑"/>
          <w:b/>
          <w:bCs/>
          <w:sz w:val="24"/>
        </w:rPr>
      </w:pPr>
      <w:r>
        <w:rPr>
          <w:rFonts w:hint="eastAsia" w:ascii="微软雅黑" w:hAnsi="微软雅黑" w:eastAsia="微软雅黑"/>
          <w:b/>
          <w:bCs/>
          <w:sz w:val="24"/>
        </w:rPr>
        <w:t>穿插模型: N-10精装修湿作业穿插施工（5天/层步距）</w:t>
      </w:r>
    </w:p>
    <w:p>
      <w:pPr>
        <w:pStyle w:val="30"/>
        <w:numPr>
          <w:ilvl w:val="0"/>
          <w:numId w:val="8"/>
        </w:numPr>
        <w:ind w:firstLineChars="0"/>
        <w:jc w:val="left"/>
        <w:rPr>
          <w:rFonts w:ascii="微软雅黑" w:hAnsi="微软雅黑" w:eastAsia="微软雅黑"/>
          <w:b/>
          <w:bCs/>
          <w:sz w:val="24"/>
        </w:rPr>
      </w:pPr>
      <w:r>
        <w:rPr>
          <w:rFonts w:hint="eastAsia" w:ascii="微软雅黑" w:hAnsi="微软雅黑" w:eastAsia="微软雅黑"/>
          <w:b/>
          <w:bCs/>
          <w:sz w:val="24"/>
        </w:rPr>
        <w:t>案例：楼层工序分布案例</w:t>
      </w:r>
    </w:p>
    <w:p>
      <w:pPr>
        <w:pStyle w:val="30"/>
        <w:numPr>
          <w:ilvl w:val="0"/>
          <w:numId w:val="8"/>
        </w:numPr>
        <w:ind w:firstLineChars="0"/>
        <w:jc w:val="left"/>
        <w:rPr>
          <w:rFonts w:hint="eastAsia" w:ascii="微软雅黑" w:hAnsi="微软雅黑" w:eastAsia="微软雅黑"/>
          <w:b/>
          <w:bCs/>
          <w:sz w:val="24"/>
        </w:rPr>
      </w:pPr>
      <w:r>
        <w:rPr>
          <w:rFonts w:hint="eastAsia" w:ascii="微软雅黑" w:hAnsi="微软雅黑" w:eastAsia="微软雅黑"/>
          <w:b/>
          <w:bCs/>
          <w:sz w:val="24"/>
        </w:rPr>
        <w:t>案例：标杆企业某项目工序排布案例——工序之间少干扰</w:t>
      </w:r>
    </w:p>
    <w:p>
      <w:pPr>
        <w:pStyle w:val="30"/>
        <w:numPr>
          <w:ilvl w:val="0"/>
          <w:numId w:val="6"/>
        </w:numPr>
        <w:ind w:firstLineChars="0"/>
        <w:jc w:val="left"/>
        <w:rPr>
          <w:rFonts w:ascii="微软雅黑" w:hAnsi="微软雅黑" w:eastAsia="微软雅黑"/>
          <w:b/>
          <w:bCs/>
          <w:sz w:val="24"/>
        </w:rPr>
      </w:pPr>
      <w:r>
        <w:rPr>
          <w:rFonts w:hint="eastAsia" w:ascii="微软雅黑" w:hAnsi="微软雅黑" w:eastAsia="微软雅黑"/>
          <w:b/>
          <w:bCs/>
          <w:sz w:val="24"/>
        </w:rPr>
        <w:t>分组</w:t>
      </w:r>
      <w:r>
        <w:rPr>
          <w:rFonts w:ascii="微软雅黑" w:hAnsi="微软雅黑" w:eastAsia="微软雅黑"/>
          <w:b/>
          <w:bCs/>
          <w:sz w:val="24"/>
        </w:rPr>
        <w:t>讨论与交流</w:t>
      </w:r>
    </w:p>
    <w:p>
      <w:pPr>
        <w:pStyle w:val="30"/>
        <w:ind w:firstLine="0" w:firstLineChars="0"/>
        <w:jc w:val="left"/>
        <w:rPr>
          <w:rFonts w:ascii="微软雅黑" w:hAnsi="微软雅黑" w:eastAsia="微软雅黑"/>
          <w:b/>
          <w:bCs/>
          <w:color w:val="FF0000"/>
          <w:sz w:val="24"/>
        </w:rPr>
      </w:pPr>
      <w:r>
        <w:rPr>
          <w:rFonts w:hint="eastAsia" w:ascii="微软雅黑" w:hAnsi="微软雅黑" w:eastAsia="微软雅黑"/>
          <w:b/>
          <w:bCs/>
          <w:color w:val="FF0000"/>
          <w:sz w:val="24"/>
        </w:rPr>
        <w:t>第四部分：保交付穿插现场管理</w:t>
      </w:r>
    </w:p>
    <w:p>
      <w:pPr>
        <w:pStyle w:val="30"/>
        <w:numPr>
          <w:ilvl w:val="0"/>
          <w:numId w:val="8"/>
        </w:numPr>
        <w:ind w:firstLineChars="0"/>
        <w:jc w:val="left"/>
        <w:rPr>
          <w:rFonts w:ascii="微软雅黑" w:hAnsi="微软雅黑" w:eastAsia="微软雅黑"/>
          <w:b/>
          <w:bCs/>
          <w:sz w:val="24"/>
        </w:rPr>
      </w:pPr>
      <w:r>
        <w:rPr>
          <w:rFonts w:hint="eastAsia" w:ascii="微软雅黑" w:hAnsi="微软雅黑" w:eastAsia="微软雅黑"/>
          <w:b/>
          <w:bCs/>
          <w:sz w:val="24"/>
        </w:rPr>
        <w:t>案例：标杆企业某项目工序排布案例——工序之间少干扰</w:t>
      </w:r>
    </w:p>
    <w:p>
      <w:pPr>
        <w:pStyle w:val="30"/>
        <w:numPr>
          <w:ilvl w:val="0"/>
          <w:numId w:val="8"/>
        </w:numPr>
        <w:ind w:firstLineChars="0"/>
        <w:jc w:val="left"/>
        <w:rPr>
          <w:rFonts w:hint="eastAsia" w:ascii="微软雅黑" w:hAnsi="微软雅黑" w:eastAsia="微软雅黑"/>
          <w:b/>
          <w:bCs/>
          <w:sz w:val="24"/>
        </w:rPr>
      </w:pPr>
      <w:r>
        <w:rPr>
          <w:rFonts w:hint="eastAsia" w:ascii="微软雅黑" w:hAnsi="微软雅黑" w:eastAsia="微软雅黑"/>
          <w:b/>
          <w:bCs/>
          <w:sz w:val="24"/>
        </w:rPr>
        <w:t>案例：桩基、检测、补桩同步完工案例</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地库副楼与主体同步施工：缺陷成因；穿插建议；</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顶板/防水/保护/回填/场平一次成活：防水随地库顶板结构完成；保护层随顶板防水完成；回填土随首层外架拆除完成；</w:t>
      </w:r>
    </w:p>
    <w:p>
      <w:pPr>
        <w:pStyle w:val="30"/>
        <w:numPr>
          <w:ilvl w:val="0"/>
          <w:numId w:val="9"/>
        </w:numPr>
        <w:ind w:firstLineChars="0"/>
        <w:jc w:val="left"/>
        <w:rPr>
          <w:rFonts w:hint="eastAsia" w:ascii="微软雅黑" w:hAnsi="微软雅黑" w:eastAsia="微软雅黑"/>
          <w:b/>
          <w:bCs/>
          <w:sz w:val="24"/>
        </w:rPr>
      </w:pPr>
      <w:r>
        <w:rPr>
          <w:rFonts w:hint="eastAsia" w:ascii="微软雅黑" w:hAnsi="微软雅黑" w:eastAsia="微软雅黑"/>
          <w:b/>
          <w:bCs/>
          <w:sz w:val="24"/>
        </w:rPr>
        <w:t>地下建筑初装机电安装工程紧前插入：砌体穿插；管网穿插；设备穿插；</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供电工程报批报建随地库同步推进；供电工程报批报建要点：停电接火计划提前30天申请；设计出图至工程施工需走图纸审批流程至少提前15天；报装申请材料依据供电局要求至少提前7天准备；供电工程为垄断工程，供电前需将费用交齐；</w:t>
      </w:r>
    </w:p>
    <w:p>
      <w:pPr>
        <w:pStyle w:val="30"/>
        <w:numPr>
          <w:ilvl w:val="0"/>
          <w:numId w:val="10"/>
        </w:numPr>
        <w:ind w:firstLineChars="0"/>
        <w:jc w:val="left"/>
        <w:rPr>
          <w:rFonts w:hint="eastAsia" w:ascii="微软雅黑" w:hAnsi="微软雅黑" w:eastAsia="微软雅黑"/>
          <w:b/>
          <w:bCs/>
          <w:sz w:val="24"/>
        </w:rPr>
      </w:pPr>
      <w:r>
        <w:rPr>
          <w:rFonts w:hint="eastAsia" w:ascii="微软雅黑" w:hAnsi="微软雅黑" w:eastAsia="微软雅黑"/>
          <w:b/>
          <w:bCs/>
          <w:sz w:val="24"/>
        </w:rPr>
        <w:t>例题：总包成本/资金影响/班组窝工影响例题</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主体结构阶段爬架安装：爬架与凸窗、挑板、线条、构架龙骨等错位安装，局部与外墙冲突的翻板提前切除、切槽、加固处理；爬架支座位提前调整到铝模K板下；楼层提前做好硬质防护棚，确保外立面穿插顺利进行；</w:t>
      </w:r>
    </w:p>
    <w:p>
      <w:pPr>
        <w:pStyle w:val="30"/>
        <w:numPr>
          <w:ilvl w:val="0"/>
          <w:numId w:val="10"/>
        </w:numPr>
        <w:ind w:firstLineChars="0"/>
        <w:jc w:val="left"/>
        <w:rPr>
          <w:rFonts w:hint="eastAsia" w:ascii="微软雅黑" w:hAnsi="微软雅黑" w:eastAsia="微软雅黑"/>
          <w:b/>
          <w:bCs/>
          <w:sz w:val="24"/>
        </w:rPr>
      </w:pPr>
      <w:r>
        <w:rPr>
          <w:rFonts w:hint="eastAsia" w:ascii="微软雅黑" w:hAnsi="微软雅黑" w:eastAsia="微软雅黑"/>
          <w:b/>
          <w:bCs/>
          <w:sz w:val="24"/>
        </w:rPr>
        <w:t>案例：底层外架优先拆案例</w:t>
      </w:r>
    </w:p>
    <w:p>
      <w:pPr>
        <w:pStyle w:val="30"/>
        <w:numPr>
          <w:ilvl w:val="0"/>
          <w:numId w:val="9"/>
        </w:numPr>
        <w:ind w:firstLineChars="0"/>
        <w:jc w:val="left"/>
        <w:rPr>
          <w:rFonts w:hint="eastAsia" w:ascii="微软雅黑" w:hAnsi="微软雅黑" w:eastAsia="微软雅黑"/>
          <w:b/>
          <w:bCs/>
          <w:sz w:val="24"/>
        </w:rPr>
      </w:pPr>
      <w:r>
        <w:rPr>
          <w:rFonts w:hint="eastAsia" w:ascii="微软雅黑" w:hAnsi="微软雅黑" w:eastAsia="微软雅黑"/>
          <w:b/>
          <w:bCs/>
          <w:sz w:val="24"/>
        </w:rPr>
        <w:t>人货梯第六层安装完毕：第六段人货梯使用；第五段砌筑样板；第四段人货梯安装；第三段人货梯进场；第二段完成电梯基础；第一段施工电梯基础；</w:t>
      </w:r>
    </w:p>
    <w:p>
      <w:pPr>
        <w:pStyle w:val="30"/>
        <w:numPr>
          <w:ilvl w:val="0"/>
          <w:numId w:val="10"/>
        </w:numPr>
        <w:ind w:firstLineChars="0"/>
        <w:jc w:val="left"/>
        <w:rPr>
          <w:rFonts w:ascii="微软雅黑" w:hAnsi="微软雅黑" w:eastAsia="微软雅黑"/>
          <w:b/>
          <w:bCs/>
          <w:sz w:val="24"/>
        </w:rPr>
      </w:pPr>
      <w:r>
        <w:rPr>
          <w:rFonts w:hint="eastAsia" w:ascii="微软雅黑" w:hAnsi="微软雅黑" w:eastAsia="微软雅黑"/>
          <w:b/>
          <w:bCs/>
          <w:sz w:val="24"/>
        </w:rPr>
        <w:t>案例：层间截水是穿插施工保证</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N层结构层——钢筋绑扎、结构拉缝安装、模板拼装</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N-1层——拆模、层间止水、垃圾清理、螺杆洞封堵、外墙打磨修补</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N-2层——层间止水、结构内墙打磨修补、卫生间反坎施工、墙板放线、排水管安装，栏杆安装、外窗框安装</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N-3层——墙板安装、外窗玻璃安装、消防立管安装</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N-4层——墙板与结构交界处挂网、沉箱防水、天花装修第一遍腻子、地面水泥砂找平、户内外给水管安装</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燃气管道先报建：燃气报批报建主体出正负零后开始；燃气进场前置准备不少于60天；与供电工程同期进行；墙砖铺贴开始前完成室内燃气管道安装；</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N-5层——墙板嵌缝修补，墙板线盒及线管安装，卫生间回填及二次防水、天花吊顶、照明穿线、保温板安装</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N-6层——卫生间及电梯间墙砖，厨房地砖，客厅天花封板、入户门框、防火门框安装、消防栓安装、水电管井刮N型腻子</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室内电梯保运输：电梯安装要点：电梯机房采用全砼结构缩短工期20天；主体封顶紧后屋面施工，电梯机房优先；主体封顶30天移交机房井道，电梯进场安装；施工梯拆除条件：施工梯拆除前30天室内电梯投入使用；室内电梯与施工梯公用30天后施工梯可拆除；所有湿作业材料均已基本上楼；地下室可堆放及运输材料；</w:t>
      </w:r>
    </w:p>
    <w:p>
      <w:pPr>
        <w:pStyle w:val="30"/>
        <w:numPr>
          <w:ilvl w:val="0"/>
          <w:numId w:val="9"/>
        </w:numPr>
        <w:ind w:firstLineChars="0"/>
        <w:jc w:val="left"/>
        <w:rPr>
          <w:rFonts w:hint="eastAsia" w:ascii="微软雅黑" w:hAnsi="微软雅黑" w:eastAsia="微软雅黑"/>
          <w:b/>
          <w:bCs/>
          <w:sz w:val="24"/>
        </w:rPr>
      </w:pPr>
      <w:r>
        <w:rPr>
          <w:rFonts w:hint="eastAsia" w:ascii="微软雅黑" w:hAnsi="微软雅黑" w:eastAsia="微软雅黑"/>
          <w:b/>
          <w:bCs/>
          <w:sz w:val="24"/>
        </w:rPr>
        <w:t>精装样板提前定：精装策划：交付标准及交付计划；施工进度及质量标准；承接查验整改计划；精装方案：确定交付标准样板；确定施工工艺样板；确定材料部品样板；装修阶段总平布置：进场后7天内确定材料堆场布置及调整；垂直运输分时段使用；同批材料到场48小时内送达施工楼层；</w:t>
      </w:r>
    </w:p>
    <w:p>
      <w:pPr>
        <w:pStyle w:val="30"/>
        <w:numPr>
          <w:ilvl w:val="0"/>
          <w:numId w:val="9"/>
        </w:numPr>
        <w:ind w:firstLineChars="0"/>
        <w:jc w:val="left"/>
        <w:rPr>
          <w:rFonts w:hint="eastAsia" w:ascii="微软雅黑" w:hAnsi="微软雅黑" w:eastAsia="微软雅黑"/>
          <w:b/>
          <w:bCs/>
          <w:sz w:val="24"/>
        </w:rPr>
      </w:pPr>
      <w:r>
        <w:rPr>
          <w:rFonts w:hint="eastAsia" w:ascii="微软雅黑" w:hAnsi="微软雅黑" w:eastAsia="微软雅黑"/>
          <w:b/>
          <w:bCs/>
          <w:sz w:val="24"/>
        </w:rPr>
        <w:t>湿作业施工先行：隔断墙/吊顶施工；墙砖施工；墙面腻子；地砖施工；水泥地坪；</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N-7层——客厅、卫生间及电梯间地砖、厨房墙砖、门槛石安装、管井穿强弱电线管及给水管</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N-8层——窗台石安装、厨卫间天花吊顶及封板、门套基层安装、墙面第一遍腻子</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N-9层——墙面、天花第二遍腻子、门贴脸及门套安装、入户门安装</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N-10层——墙面、天花打磨、喷底漆、上面漆、户内门安装</w:t>
      </w:r>
    </w:p>
    <w:p>
      <w:pPr>
        <w:pStyle w:val="30"/>
        <w:numPr>
          <w:ilvl w:val="0"/>
          <w:numId w:val="9"/>
        </w:numPr>
        <w:ind w:firstLineChars="0"/>
        <w:jc w:val="left"/>
        <w:rPr>
          <w:rFonts w:hint="eastAsia" w:ascii="微软雅黑" w:hAnsi="微软雅黑" w:eastAsia="微软雅黑"/>
          <w:b/>
          <w:bCs/>
          <w:sz w:val="24"/>
        </w:rPr>
      </w:pPr>
      <w:r>
        <w:rPr>
          <w:rFonts w:hint="eastAsia" w:ascii="微软雅黑" w:hAnsi="微软雅黑" w:eastAsia="微软雅黑"/>
          <w:b/>
          <w:bCs/>
          <w:sz w:val="24"/>
        </w:rPr>
        <w:t>干作业紧跟其后： 油漆/壁纸/灯具安装；橱柜 /浴室柜安装；壁柜安装；洁具/五金/电器安装；门/地板安装；外架拆除后插入；提前策划动线；48小时物料上楼；紧盯作业面/物料；</w:t>
      </w:r>
    </w:p>
    <w:p>
      <w:pPr>
        <w:pStyle w:val="30"/>
        <w:numPr>
          <w:ilvl w:val="0"/>
          <w:numId w:val="9"/>
        </w:numPr>
        <w:ind w:firstLineChars="0"/>
        <w:jc w:val="left"/>
        <w:rPr>
          <w:rFonts w:hint="eastAsia" w:ascii="微软雅黑" w:hAnsi="微软雅黑" w:eastAsia="微软雅黑"/>
          <w:b/>
          <w:bCs/>
          <w:sz w:val="24"/>
        </w:rPr>
      </w:pPr>
      <w:r>
        <w:rPr>
          <w:rFonts w:hint="eastAsia" w:ascii="微软雅黑" w:hAnsi="微软雅黑" w:eastAsia="微软雅黑"/>
          <w:b/>
          <w:bCs/>
          <w:sz w:val="24"/>
        </w:rPr>
        <w:t>公区精装修收头：公区吊顶施工；公区墙砖施工；公区地砖施工；电梯门套施工；灯具/面板安装；室内公区穿插；楼梯间到室内；最迟外架拆除；10内完成公共部分；</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N-11层——部品安装</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N-12层——木地板安装、水电、洁具、五金安装调试</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N-13层——开荒保洁，达到交付状态</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外立面施工：前期四图尤为重要；注意外保温拉拔检测，不可省略检测项；</w:t>
      </w:r>
      <w:r>
        <w:rPr>
          <w:rFonts w:ascii="微软雅黑" w:hAnsi="微软雅黑" w:eastAsia="微软雅黑"/>
          <w:b/>
          <w:bCs/>
          <w:sz w:val="24"/>
        </w:rPr>
        <w:t xml:space="preserve"> </w:t>
      </w:r>
    </w:p>
    <w:p>
      <w:pPr>
        <w:pStyle w:val="30"/>
        <w:numPr>
          <w:ilvl w:val="0"/>
          <w:numId w:val="9"/>
        </w:numPr>
        <w:ind w:firstLineChars="0"/>
        <w:jc w:val="left"/>
        <w:rPr>
          <w:rFonts w:hint="eastAsia" w:ascii="微软雅黑" w:hAnsi="微软雅黑" w:eastAsia="微软雅黑"/>
          <w:b/>
          <w:bCs/>
          <w:sz w:val="24"/>
        </w:rPr>
      </w:pPr>
      <w:r>
        <w:rPr>
          <w:rFonts w:hint="eastAsia" w:ascii="微软雅黑" w:hAnsi="微软雅黑" w:eastAsia="微软雅黑"/>
          <w:b/>
          <w:bCs/>
          <w:sz w:val="24"/>
        </w:rPr>
        <w:t>地库侧边防水后回填：地库侧边防水施工要点；防水保护层施工要点；回填土施工要点；</w:t>
      </w:r>
    </w:p>
    <w:p>
      <w:pPr>
        <w:pStyle w:val="30"/>
        <w:numPr>
          <w:ilvl w:val="0"/>
          <w:numId w:val="10"/>
        </w:numPr>
        <w:ind w:firstLineChars="0"/>
        <w:jc w:val="left"/>
        <w:rPr>
          <w:rFonts w:hint="eastAsia" w:ascii="微软雅黑" w:hAnsi="微软雅黑" w:eastAsia="微软雅黑"/>
          <w:b/>
          <w:bCs/>
          <w:sz w:val="24"/>
        </w:rPr>
      </w:pPr>
      <w:r>
        <w:rPr>
          <w:rFonts w:hint="eastAsia" w:ascii="微软雅黑" w:hAnsi="微软雅黑" w:eastAsia="微软雅黑"/>
          <w:b/>
          <w:bCs/>
          <w:sz w:val="24"/>
        </w:rPr>
        <w:t>案例：小市政管网分段早穿插</w:t>
      </w:r>
    </w:p>
    <w:p>
      <w:pPr>
        <w:pStyle w:val="30"/>
        <w:numPr>
          <w:ilvl w:val="0"/>
          <w:numId w:val="9"/>
        </w:numPr>
        <w:ind w:firstLineChars="0"/>
        <w:jc w:val="left"/>
        <w:rPr>
          <w:rFonts w:hint="eastAsia" w:ascii="微软雅黑" w:hAnsi="微软雅黑" w:eastAsia="微软雅黑"/>
          <w:b/>
          <w:bCs/>
          <w:sz w:val="24"/>
        </w:rPr>
      </w:pPr>
      <w:r>
        <w:rPr>
          <w:rFonts w:hint="eastAsia" w:ascii="微软雅黑" w:hAnsi="微软雅黑" w:eastAsia="微软雅黑"/>
          <w:b/>
          <w:bCs/>
          <w:sz w:val="24"/>
        </w:rPr>
        <w:t>顶板市政绿化同步完成：疏水层施工；顶板回填施工；管网施工；道路硬化施工；绿化/园林铺贴；结构出正负零后60天；联合验收前45天；外架与人货梯位置；园林铺贴前期关注；</w:t>
      </w:r>
    </w:p>
    <w:p>
      <w:pPr>
        <w:pStyle w:val="30"/>
        <w:numPr>
          <w:ilvl w:val="0"/>
          <w:numId w:val="9"/>
        </w:numPr>
        <w:ind w:firstLineChars="0"/>
        <w:jc w:val="left"/>
        <w:rPr>
          <w:rFonts w:hint="eastAsia" w:ascii="微软雅黑" w:hAnsi="微软雅黑" w:eastAsia="微软雅黑"/>
          <w:b/>
          <w:bCs/>
          <w:sz w:val="24"/>
        </w:rPr>
      </w:pPr>
      <w:r>
        <w:rPr>
          <w:rFonts w:hint="eastAsia" w:ascii="微软雅黑" w:hAnsi="微软雅黑" w:eastAsia="微软雅黑"/>
          <w:b/>
          <w:bCs/>
          <w:sz w:val="24"/>
        </w:rPr>
        <w:t>穿插技术应用小结：公司里程碑节点要求决定穿插工艺的选择；标准化设计节点、材料选型、材料参数、施工工艺战略供应商准备必须前置，避免三边工程；爬架、铝模、三免一无应用是重要支撑；爬架拆除、施工电梯安装与拆除、顶板防水，是三大关键节点。初装修湿作业流水可按5、6、7、8天安排，精装修干作业可以灵活处理；工序穿插安排，没有窝工是保障；人货梯下负一层地下室，形成水平二层运输通道，将增强施工组织的灵活性。</w:t>
      </w:r>
    </w:p>
    <w:p>
      <w:pPr>
        <w:pStyle w:val="30"/>
        <w:numPr>
          <w:ilvl w:val="0"/>
          <w:numId w:val="9"/>
        </w:numPr>
        <w:ind w:firstLineChars="0"/>
        <w:jc w:val="left"/>
        <w:rPr>
          <w:rFonts w:ascii="微软雅黑" w:hAnsi="微软雅黑" w:eastAsia="微软雅黑"/>
          <w:b/>
          <w:bCs/>
          <w:sz w:val="24"/>
        </w:rPr>
      </w:pPr>
      <w:r>
        <w:rPr>
          <w:rFonts w:hint="eastAsia" w:ascii="微软雅黑" w:hAnsi="微软雅黑" w:eastAsia="微软雅黑"/>
          <w:b/>
          <w:bCs/>
          <w:sz w:val="24"/>
        </w:rPr>
        <w:t>分组</w:t>
      </w:r>
      <w:r>
        <w:rPr>
          <w:rFonts w:ascii="微软雅黑" w:hAnsi="微软雅黑" w:eastAsia="微软雅黑"/>
          <w:b/>
          <w:bCs/>
          <w:sz w:val="24"/>
        </w:rPr>
        <w:t>讨论与交流</w:t>
      </w:r>
    </w:p>
    <w:p>
      <w:pPr>
        <w:adjustRightInd w:val="0"/>
        <w:snapToGrid w:val="0"/>
        <w:spacing w:line="288" w:lineRule="auto"/>
        <w:jc w:val="center"/>
        <w:rPr>
          <w:rFonts w:ascii="微软雅黑" w:hAnsi="微软雅黑" w:eastAsia="微软雅黑" w:cs="宋体"/>
          <w:b/>
          <w:color w:val="404040"/>
          <w:spacing w:val="10"/>
          <w:szCs w:val="21"/>
        </w:rPr>
      </w:pPr>
      <w:r>
        <w:br w:type="page"/>
      </w:r>
      <w:r>
        <w:rPr>
          <w:rFonts w:ascii="微软雅黑" w:hAnsi="微软雅黑" w:eastAsia="微软雅黑" w:cs="宋体"/>
          <w:b/>
          <w:color w:val="404040"/>
          <w:spacing w:val="10"/>
          <w:szCs w:val="21"/>
          <w:lang/>
        </w:rPr>
        <w:drawing>
          <wp:inline distT="0" distB="0" distL="114300" distR="114300">
            <wp:extent cx="6200775" cy="390525"/>
            <wp:effectExtent l="0" t="0" r="1905" b="5715"/>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5"/>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hint="eastAsia" w:ascii="微软雅黑" w:hAnsi="微软雅黑" w:eastAsia="微软雅黑" w:cs="宋体"/>
          <w:b/>
          <w:color w:val="404040"/>
          <w:spacing w:val="10"/>
          <w:szCs w:val="21"/>
        </w:rPr>
      </w:pPr>
    </w:p>
    <w:p>
      <w:pPr>
        <w:adjustRightInd w:val="0"/>
        <w:snapToGrid w:val="0"/>
        <w:spacing w:line="288" w:lineRule="auto"/>
        <w:rPr>
          <w:rFonts w:hint="eastAsia"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hint="eastAsia"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09575"/>
            <wp:effectExtent l="0" t="0" r="0" b="1905"/>
            <wp:docPr id="2"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职业背景"/>
                    <pic:cNvPicPr>
                      <a:picLocks noChangeAspect="1"/>
                    </pic:cNvPicPr>
                  </pic:nvPicPr>
                  <pic:blipFill>
                    <a:blip r:embed="rId6"/>
                    <a:stretch>
                      <a:fillRect/>
                    </a:stretch>
                  </pic:blipFill>
                  <pic:spPr>
                    <a:xfrm>
                      <a:off x="0" y="0"/>
                      <a:ext cx="6172200" cy="409575"/>
                    </a:xfrm>
                    <a:prstGeom prst="rect">
                      <a:avLst/>
                    </a:prstGeom>
                    <a:noFill/>
                    <a:ln>
                      <a:noFill/>
                    </a:ln>
                  </pic:spPr>
                </pic:pic>
              </a:graphicData>
            </a:graphic>
          </wp:inline>
        </w:drawing>
      </w:r>
    </w:p>
    <w:p>
      <w:pPr>
        <w:pStyle w:val="30"/>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30"/>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30"/>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30"/>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30"/>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30"/>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30"/>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30"/>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30"/>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30"/>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30"/>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30"/>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30"/>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30"/>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30"/>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30"/>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30"/>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30"/>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hint="eastAsia"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91250" cy="409575"/>
            <wp:effectExtent l="0" t="0" r="11430" b="1905"/>
            <wp:docPr id="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9"/>
                    <pic:cNvPicPr>
                      <a:picLocks noChangeAspect="1"/>
                    </pic:cNvPicPr>
                  </pic:nvPicPr>
                  <pic:blipFill>
                    <a:blip r:embed="rId7"/>
                    <a:stretch>
                      <a:fillRect/>
                    </a:stretch>
                  </pic:blipFill>
                  <pic:spPr>
                    <a:xfrm>
                      <a:off x="0" y="0"/>
                      <a:ext cx="6191250" cy="409575"/>
                    </a:xfrm>
                    <a:prstGeom prst="rect">
                      <a:avLst/>
                    </a:prstGeom>
                    <a:noFill/>
                    <a:ln>
                      <a:noFill/>
                    </a:ln>
                  </pic:spPr>
                </pic:pic>
              </a:graphicData>
            </a:graphic>
          </wp:inline>
        </w:drawing>
      </w:r>
    </w:p>
    <w:p>
      <w:pPr>
        <w:pStyle w:val="30"/>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30"/>
        <w:adjustRightInd w:val="0"/>
        <w:snapToGrid w:val="0"/>
        <w:spacing w:line="288" w:lineRule="auto"/>
        <w:ind w:firstLine="460"/>
        <w:rPr>
          <w:rFonts w:hint="eastAsia" w:ascii="微软雅黑" w:hAnsi="微软雅黑" w:eastAsia="微软雅黑" w:cs="宋体"/>
          <w:color w:val="404040"/>
          <w:spacing w:val="10"/>
          <w:szCs w:val="21"/>
        </w:rPr>
      </w:pPr>
    </w:p>
    <w:p>
      <w:pPr>
        <w:spacing w:line="360" w:lineRule="auto"/>
        <w:rPr>
          <w:rFonts w:hint="eastAsia"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91250" cy="409575"/>
            <wp:effectExtent l="0" t="0" r="11430" b="1905"/>
            <wp:docPr id="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0"/>
                    <pic:cNvPicPr>
                      <a:picLocks noChangeAspect="1"/>
                    </pic:cNvPicPr>
                  </pic:nvPicPr>
                  <pic:blipFill>
                    <a:blip r:embed="rId8"/>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3"/>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3"/>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3"/>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1" w:name="_Hlk118432381"/>
      <w:r>
        <w:rPr>
          <w:rFonts w:hint="eastAsia" w:ascii="微软雅黑" w:hAnsi="微软雅黑" w:eastAsia="微软雅黑" w:cs="微软雅黑"/>
          <w:color w:val="404040"/>
          <w:szCs w:val="21"/>
        </w:rPr>
        <w:t>工程精益管理</w:t>
      </w:r>
      <w:bookmarkEnd w:id="1"/>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3"/>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2" w:name="_Hlk118432986"/>
      <w:r>
        <w:rPr>
          <w:rFonts w:hint="eastAsia" w:ascii="微软雅黑" w:hAnsi="微软雅黑" w:eastAsia="微软雅黑" w:cs="微软雅黑"/>
          <w:color w:val="404040"/>
          <w:szCs w:val="21"/>
        </w:rPr>
        <w:t>项目总角色定位与项目管理能力</w:t>
      </w:r>
      <w:bookmarkEnd w:id="2"/>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3"/>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3"/>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5"/>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5"/>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5"/>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6"/>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5"/>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5"/>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5"/>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5"/>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6"/>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8"/>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9"/>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6"/>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9"/>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9"/>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5"/>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5"/>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3" w:name="_Hlk118436183"/>
      <w:r>
        <w:rPr>
          <w:rFonts w:hint="eastAsia" w:ascii="微软雅黑" w:hAnsi="微软雅黑" w:eastAsia="微软雅黑" w:cs="微软雅黑"/>
          <w:color w:val="404040"/>
          <w:szCs w:val="21"/>
        </w:rPr>
        <w:t>安全管理</w:t>
      </w:r>
      <w:bookmarkEnd w:id="3"/>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4"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4"/>
    <w:p>
      <w:pPr>
        <w:numPr>
          <w:ilvl w:val="0"/>
          <w:numId w:val="19"/>
        </w:numPr>
        <w:spacing w:line="360" w:lineRule="auto"/>
        <w:ind w:left="284" w:hanging="284"/>
        <w:rPr>
          <w:rFonts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w:t>
      </w:r>
      <w:bookmarkStart w:id="5" w:name="_Hlk118437736"/>
      <w:r>
        <w:rPr>
          <w:rFonts w:hint="eastAsia" w:ascii="微软雅黑" w:hAnsi="微软雅黑" w:eastAsia="微软雅黑" w:cs="微软雅黑"/>
          <w:color w:val="404040"/>
          <w:szCs w:val="21"/>
          <w:highlight w:val="yellow"/>
        </w:rPr>
        <w:t>保交付</w:t>
      </w:r>
      <w:bookmarkEnd w:id="5"/>
      <w:r>
        <w:rPr>
          <w:rFonts w:hint="eastAsia" w:ascii="微软雅黑" w:hAnsi="微软雅黑" w:eastAsia="微软雅黑" w:cs="微软雅黑"/>
          <w:color w:val="404040"/>
          <w:szCs w:val="21"/>
          <w:highlight w:val="yellow"/>
        </w:rPr>
        <w:t>保质量下的工</w:t>
      </w:r>
      <w:bookmarkStart w:id="6" w:name="_Hlk118437723"/>
      <w:r>
        <w:rPr>
          <w:rFonts w:hint="eastAsia" w:ascii="微软雅黑" w:hAnsi="微软雅黑" w:eastAsia="微软雅黑" w:cs="微软雅黑"/>
          <w:color w:val="404040"/>
          <w:szCs w:val="21"/>
          <w:highlight w:val="yellow"/>
        </w:rPr>
        <w:t>程穿插提效快速施工</w:t>
      </w:r>
      <w:bookmarkEnd w:id="6"/>
      <w:r>
        <w:rPr>
          <w:rFonts w:hint="eastAsia" w:ascii="微软雅黑" w:hAnsi="微软雅黑" w:eastAsia="微软雅黑" w:cs="微软雅黑"/>
          <w:color w:val="404040"/>
          <w:szCs w:val="21"/>
          <w:highlight w:val="yellow"/>
        </w:rPr>
        <w:t>管理要点及实战案例》</w:t>
      </w:r>
      <w:r>
        <w:rPr>
          <w:rFonts w:hint="eastAsia" w:ascii="微软雅黑" w:hAnsi="微软雅黑" w:eastAsia="微软雅黑" w:cs="微软雅黑"/>
          <w:b/>
          <w:color w:val="404040"/>
          <w:szCs w:val="21"/>
          <w:highlight w:val="yellow"/>
        </w:rPr>
        <w:t>（多家央企保交付工程穿插提效快速施工管理提升课程）</w:t>
      </w:r>
    </w:p>
    <w:p>
      <w:pPr>
        <w:numPr>
          <w:ilvl w:val="0"/>
          <w:numId w:val="19"/>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7" w:name="_Hlk118438008"/>
      <w:r>
        <w:rPr>
          <w:rFonts w:hint="eastAsia" w:ascii="微软雅黑" w:hAnsi="微软雅黑" w:eastAsia="微软雅黑" w:cs="微软雅黑"/>
          <w:color w:val="404040"/>
          <w:szCs w:val="21"/>
        </w:rPr>
        <w:t>地基基础施工工艺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20"/>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8" w:name="_Hlk118438098"/>
      <w:r>
        <w:rPr>
          <w:rFonts w:hint="eastAsia" w:ascii="微软雅黑" w:hAnsi="微软雅黑" w:eastAsia="微软雅黑" w:cs="微软雅黑"/>
          <w:color w:val="404040"/>
          <w:szCs w:val="21"/>
        </w:rPr>
        <w:t>装饰装修施工工艺</w:t>
      </w:r>
      <w:bookmarkEnd w:id="8"/>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9"/>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9" w:name="_Hlk118438294"/>
      <w:r>
        <w:rPr>
          <w:rFonts w:hint="eastAsia" w:ascii="微软雅黑" w:hAnsi="微软雅黑" w:eastAsia="微软雅黑" w:cs="微软雅黑"/>
          <w:color w:val="404040"/>
          <w:szCs w:val="21"/>
        </w:rPr>
        <w:t>总承包</w:t>
      </w:r>
      <w:bookmarkEnd w:id="9"/>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headerReference r:id="rId3" w:type="default"/>
      <w:type w:val="continuous"/>
      <w:pgSz w:w="16838" w:h="23811"/>
      <w:pgMar w:top="1440" w:right="851" w:bottom="1440" w:left="851" w:header="851" w:footer="40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3BDC2663-5CE4-486B-B3CA-3C4403F47B68}"/>
  </w:font>
  <w:font w:name="宋体">
    <w:panose1 w:val="02010600030101010101"/>
    <w:charset w:val="86"/>
    <w:family w:val="auto"/>
    <w:pitch w:val="default"/>
    <w:sig w:usb0="00000003" w:usb1="288F0000" w:usb2="00000006" w:usb3="00000000" w:csb0="00040001" w:csb1="00000000"/>
    <w:embedRegular r:id="rId2" w:fontKey="{5F817D41-7A56-4B6D-AFE4-0060FC6A0EFD}"/>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embedRegular r:id="rId3" w:fontKey="{6674AA24-0D1F-49ED-AE42-C7B9F294FDBF}"/>
  </w:font>
  <w:font w:name="Tahoma">
    <w:panose1 w:val="020B0604030504040204"/>
    <w:charset w:val="00"/>
    <w:family w:val="swiss"/>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1B24A5"/>
    <w:multiLevelType w:val="multilevel"/>
    <w:tmpl w:val="0C1B24A5"/>
    <w:lvl w:ilvl="0" w:tentative="0">
      <w:start w:val="1"/>
      <w:numFmt w:val="decimal"/>
      <w:lvlText w:val="%1."/>
      <w:lvlJc w:val="left"/>
      <w:pPr>
        <w:ind w:left="1324" w:hanging="420"/>
      </w:pPr>
    </w:lvl>
    <w:lvl w:ilvl="1" w:tentative="0">
      <w:start w:val="1"/>
      <w:numFmt w:val="lowerLetter"/>
      <w:lvlText w:val="%2)"/>
      <w:lvlJc w:val="left"/>
      <w:pPr>
        <w:ind w:left="1744" w:hanging="420"/>
      </w:pPr>
    </w:lvl>
    <w:lvl w:ilvl="2" w:tentative="0">
      <w:start w:val="1"/>
      <w:numFmt w:val="lowerRoman"/>
      <w:lvlText w:val="%3."/>
      <w:lvlJc w:val="right"/>
      <w:pPr>
        <w:ind w:left="2164" w:hanging="420"/>
      </w:pPr>
    </w:lvl>
    <w:lvl w:ilvl="3" w:tentative="0">
      <w:start w:val="1"/>
      <w:numFmt w:val="decimal"/>
      <w:lvlText w:val="%4."/>
      <w:lvlJc w:val="left"/>
      <w:pPr>
        <w:ind w:left="2584" w:hanging="420"/>
      </w:pPr>
    </w:lvl>
    <w:lvl w:ilvl="4" w:tentative="0">
      <w:start w:val="1"/>
      <w:numFmt w:val="lowerLetter"/>
      <w:lvlText w:val="%5)"/>
      <w:lvlJc w:val="left"/>
      <w:pPr>
        <w:ind w:left="3004" w:hanging="420"/>
      </w:pPr>
    </w:lvl>
    <w:lvl w:ilvl="5" w:tentative="0">
      <w:start w:val="1"/>
      <w:numFmt w:val="lowerRoman"/>
      <w:lvlText w:val="%6."/>
      <w:lvlJc w:val="right"/>
      <w:pPr>
        <w:ind w:left="3424" w:hanging="420"/>
      </w:pPr>
    </w:lvl>
    <w:lvl w:ilvl="6" w:tentative="0">
      <w:start w:val="1"/>
      <w:numFmt w:val="decimal"/>
      <w:lvlText w:val="%7."/>
      <w:lvlJc w:val="left"/>
      <w:pPr>
        <w:ind w:left="3844" w:hanging="420"/>
      </w:pPr>
    </w:lvl>
    <w:lvl w:ilvl="7" w:tentative="0">
      <w:start w:val="1"/>
      <w:numFmt w:val="lowerLetter"/>
      <w:lvlText w:val="%8)"/>
      <w:lvlJc w:val="left"/>
      <w:pPr>
        <w:ind w:left="4264" w:hanging="420"/>
      </w:pPr>
    </w:lvl>
    <w:lvl w:ilvl="8" w:tentative="0">
      <w:start w:val="1"/>
      <w:numFmt w:val="lowerRoman"/>
      <w:lvlText w:val="%9."/>
      <w:lvlJc w:val="right"/>
      <w:pPr>
        <w:ind w:left="4684" w:hanging="420"/>
      </w:pPr>
    </w:lvl>
  </w:abstractNum>
  <w:abstractNum w:abstractNumId="1">
    <w:nsid w:val="0DD1319E"/>
    <w:multiLevelType w:val="multilevel"/>
    <w:tmpl w:val="0DD1319E"/>
    <w:lvl w:ilvl="0" w:tentative="0">
      <w:start w:val="1"/>
      <w:numFmt w:val="bullet"/>
      <w:lvlText w:val=""/>
      <w:lvlJc w:val="left"/>
      <w:pPr>
        <w:ind w:left="1324" w:hanging="420"/>
      </w:pPr>
      <w:rPr>
        <w:rFonts w:hint="default" w:ascii="Wingdings" w:hAnsi="Wingdings"/>
      </w:rPr>
    </w:lvl>
    <w:lvl w:ilvl="1" w:tentative="0">
      <w:start w:val="1"/>
      <w:numFmt w:val="bullet"/>
      <w:lvlText w:val=""/>
      <w:lvlJc w:val="left"/>
      <w:pPr>
        <w:ind w:left="1744" w:hanging="420"/>
      </w:pPr>
      <w:rPr>
        <w:rFonts w:hint="default" w:ascii="Wingdings" w:hAnsi="Wingdings"/>
      </w:rPr>
    </w:lvl>
    <w:lvl w:ilvl="2" w:tentative="0">
      <w:start w:val="1"/>
      <w:numFmt w:val="bullet"/>
      <w:lvlText w:val=""/>
      <w:lvlJc w:val="left"/>
      <w:pPr>
        <w:ind w:left="2164" w:hanging="420"/>
      </w:pPr>
      <w:rPr>
        <w:rFonts w:hint="default" w:ascii="Wingdings" w:hAnsi="Wingdings"/>
      </w:rPr>
    </w:lvl>
    <w:lvl w:ilvl="3" w:tentative="0">
      <w:start w:val="1"/>
      <w:numFmt w:val="bullet"/>
      <w:lvlText w:val=""/>
      <w:lvlJc w:val="left"/>
      <w:pPr>
        <w:ind w:left="2584" w:hanging="420"/>
      </w:pPr>
      <w:rPr>
        <w:rFonts w:hint="default" w:ascii="Wingdings" w:hAnsi="Wingdings"/>
      </w:rPr>
    </w:lvl>
    <w:lvl w:ilvl="4" w:tentative="0">
      <w:start w:val="1"/>
      <w:numFmt w:val="bullet"/>
      <w:lvlText w:val=""/>
      <w:lvlJc w:val="left"/>
      <w:pPr>
        <w:ind w:left="3004" w:hanging="420"/>
      </w:pPr>
      <w:rPr>
        <w:rFonts w:hint="default" w:ascii="Wingdings" w:hAnsi="Wingdings"/>
      </w:rPr>
    </w:lvl>
    <w:lvl w:ilvl="5" w:tentative="0">
      <w:start w:val="1"/>
      <w:numFmt w:val="bullet"/>
      <w:lvlText w:val=""/>
      <w:lvlJc w:val="left"/>
      <w:pPr>
        <w:ind w:left="3424" w:hanging="420"/>
      </w:pPr>
      <w:rPr>
        <w:rFonts w:hint="default" w:ascii="Wingdings" w:hAnsi="Wingdings"/>
      </w:rPr>
    </w:lvl>
    <w:lvl w:ilvl="6" w:tentative="0">
      <w:start w:val="1"/>
      <w:numFmt w:val="bullet"/>
      <w:lvlText w:val=""/>
      <w:lvlJc w:val="left"/>
      <w:pPr>
        <w:ind w:left="3844" w:hanging="420"/>
      </w:pPr>
      <w:rPr>
        <w:rFonts w:hint="default" w:ascii="Wingdings" w:hAnsi="Wingdings"/>
      </w:rPr>
    </w:lvl>
    <w:lvl w:ilvl="7" w:tentative="0">
      <w:start w:val="1"/>
      <w:numFmt w:val="bullet"/>
      <w:lvlText w:val=""/>
      <w:lvlJc w:val="left"/>
      <w:pPr>
        <w:ind w:left="4264" w:hanging="420"/>
      </w:pPr>
      <w:rPr>
        <w:rFonts w:hint="default" w:ascii="Wingdings" w:hAnsi="Wingdings"/>
      </w:rPr>
    </w:lvl>
    <w:lvl w:ilvl="8" w:tentative="0">
      <w:start w:val="1"/>
      <w:numFmt w:val="bullet"/>
      <w:lvlText w:val=""/>
      <w:lvlJc w:val="left"/>
      <w:pPr>
        <w:ind w:left="4684" w:hanging="420"/>
      </w:pPr>
      <w:rPr>
        <w:rFonts w:hint="default" w:ascii="Wingdings" w:hAnsi="Wingdings"/>
      </w:rPr>
    </w:lvl>
  </w:abstractNum>
  <w:abstractNum w:abstractNumId="2">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2AA52E93"/>
    <w:multiLevelType w:val="multilevel"/>
    <w:tmpl w:val="2AA52E93"/>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980" w:hanging="720"/>
      </w:pPr>
      <w:rPr>
        <w:rFonts w:hint="default"/>
        <w:b w:val="0"/>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2C1C57C5"/>
    <w:multiLevelType w:val="multilevel"/>
    <w:tmpl w:val="2C1C57C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3B1A07E8"/>
    <w:multiLevelType w:val="multilevel"/>
    <w:tmpl w:val="3B1A07E8"/>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9">
    <w:nsid w:val="472A4DCA"/>
    <w:multiLevelType w:val="multilevel"/>
    <w:tmpl w:val="472A4DCA"/>
    <w:lvl w:ilvl="0" w:tentative="0">
      <w:start w:val="1"/>
      <w:numFmt w:val="decimal"/>
      <w:lvlText w:val="%1."/>
      <w:lvlJc w:val="left"/>
      <w:pPr>
        <w:ind w:left="1324" w:hanging="420"/>
      </w:pPr>
    </w:lvl>
    <w:lvl w:ilvl="1" w:tentative="0">
      <w:start w:val="1"/>
      <w:numFmt w:val="lowerLetter"/>
      <w:lvlText w:val="%2)"/>
      <w:lvlJc w:val="left"/>
      <w:pPr>
        <w:ind w:left="1744" w:hanging="420"/>
      </w:pPr>
    </w:lvl>
    <w:lvl w:ilvl="2" w:tentative="0">
      <w:start w:val="1"/>
      <w:numFmt w:val="lowerRoman"/>
      <w:lvlText w:val="%3."/>
      <w:lvlJc w:val="right"/>
      <w:pPr>
        <w:ind w:left="2164" w:hanging="420"/>
      </w:pPr>
    </w:lvl>
    <w:lvl w:ilvl="3" w:tentative="0">
      <w:start w:val="1"/>
      <w:numFmt w:val="decimal"/>
      <w:lvlText w:val="%4."/>
      <w:lvlJc w:val="left"/>
      <w:pPr>
        <w:ind w:left="2584" w:hanging="420"/>
      </w:pPr>
    </w:lvl>
    <w:lvl w:ilvl="4" w:tentative="0">
      <w:start w:val="1"/>
      <w:numFmt w:val="lowerLetter"/>
      <w:lvlText w:val="%5)"/>
      <w:lvlJc w:val="left"/>
      <w:pPr>
        <w:ind w:left="3004" w:hanging="420"/>
      </w:pPr>
    </w:lvl>
    <w:lvl w:ilvl="5" w:tentative="0">
      <w:start w:val="1"/>
      <w:numFmt w:val="lowerRoman"/>
      <w:lvlText w:val="%6."/>
      <w:lvlJc w:val="right"/>
      <w:pPr>
        <w:ind w:left="3424" w:hanging="420"/>
      </w:pPr>
    </w:lvl>
    <w:lvl w:ilvl="6" w:tentative="0">
      <w:start w:val="1"/>
      <w:numFmt w:val="decimal"/>
      <w:lvlText w:val="%7."/>
      <w:lvlJc w:val="left"/>
      <w:pPr>
        <w:ind w:left="3844" w:hanging="420"/>
      </w:pPr>
    </w:lvl>
    <w:lvl w:ilvl="7" w:tentative="0">
      <w:start w:val="1"/>
      <w:numFmt w:val="lowerLetter"/>
      <w:lvlText w:val="%8)"/>
      <w:lvlJc w:val="left"/>
      <w:pPr>
        <w:ind w:left="4264" w:hanging="420"/>
      </w:pPr>
    </w:lvl>
    <w:lvl w:ilvl="8" w:tentative="0">
      <w:start w:val="1"/>
      <w:numFmt w:val="lowerRoman"/>
      <w:lvlText w:val="%9."/>
      <w:lvlJc w:val="right"/>
      <w:pPr>
        <w:ind w:left="4684" w:hanging="420"/>
      </w:pPr>
    </w:lvl>
  </w:abstractNum>
  <w:abstractNum w:abstractNumId="10">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1">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2">
    <w:nsid w:val="637E30C0"/>
    <w:multiLevelType w:val="multilevel"/>
    <w:tmpl w:val="637E30C0"/>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decimal"/>
      <w:lvlText w:val="1.%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4">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5">
    <w:nsid w:val="763F0DC1"/>
    <w:multiLevelType w:val="multilevel"/>
    <w:tmpl w:val="763F0DC1"/>
    <w:lvl w:ilvl="0" w:tentative="0">
      <w:start w:val="1"/>
      <w:numFmt w:val="bullet"/>
      <w:lvlText w:val=""/>
      <w:lvlJc w:val="left"/>
      <w:pPr>
        <w:ind w:left="1324" w:hanging="420"/>
      </w:pPr>
      <w:rPr>
        <w:rFonts w:hint="default" w:ascii="Wingdings" w:hAnsi="Wingdings"/>
      </w:rPr>
    </w:lvl>
    <w:lvl w:ilvl="1" w:tentative="0">
      <w:start w:val="1"/>
      <w:numFmt w:val="bullet"/>
      <w:lvlText w:val=""/>
      <w:lvlJc w:val="left"/>
      <w:pPr>
        <w:ind w:left="1744" w:hanging="420"/>
      </w:pPr>
      <w:rPr>
        <w:rFonts w:hint="default" w:ascii="Wingdings" w:hAnsi="Wingdings"/>
      </w:rPr>
    </w:lvl>
    <w:lvl w:ilvl="2" w:tentative="0">
      <w:start w:val="1"/>
      <w:numFmt w:val="bullet"/>
      <w:lvlText w:val=""/>
      <w:lvlJc w:val="left"/>
      <w:pPr>
        <w:ind w:left="2164" w:hanging="420"/>
      </w:pPr>
      <w:rPr>
        <w:rFonts w:hint="default" w:ascii="Wingdings" w:hAnsi="Wingdings"/>
      </w:rPr>
    </w:lvl>
    <w:lvl w:ilvl="3" w:tentative="0">
      <w:start w:val="1"/>
      <w:numFmt w:val="bullet"/>
      <w:lvlText w:val=""/>
      <w:lvlJc w:val="left"/>
      <w:pPr>
        <w:ind w:left="2584" w:hanging="420"/>
      </w:pPr>
      <w:rPr>
        <w:rFonts w:hint="default" w:ascii="Wingdings" w:hAnsi="Wingdings"/>
      </w:rPr>
    </w:lvl>
    <w:lvl w:ilvl="4" w:tentative="0">
      <w:start w:val="1"/>
      <w:numFmt w:val="bullet"/>
      <w:lvlText w:val=""/>
      <w:lvlJc w:val="left"/>
      <w:pPr>
        <w:ind w:left="3004" w:hanging="420"/>
      </w:pPr>
      <w:rPr>
        <w:rFonts w:hint="default" w:ascii="Wingdings" w:hAnsi="Wingdings"/>
      </w:rPr>
    </w:lvl>
    <w:lvl w:ilvl="5" w:tentative="0">
      <w:start w:val="1"/>
      <w:numFmt w:val="bullet"/>
      <w:lvlText w:val=""/>
      <w:lvlJc w:val="left"/>
      <w:pPr>
        <w:ind w:left="3424" w:hanging="420"/>
      </w:pPr>
      <w:rPr>
        <w:rFonts w:hint="default" w:ascii="Wingdings" w:hAnsi="Wingdings"/>
      </w:rPr>
    </w:lvl>
    <w:lvl w:ilvl="6" w:tentative="0">
      <w:start w:val="1"/>
      <w:numFmt w:val="bullet"/>
      <w:lvlText w:val=""/>
      <w:lvlJc w:val="left"/>
      <w:pPr>
        <w:ind w:left="3844" w:hanging="420"/>
      </w:pPr>
      <w:rPr>
        <w:rFonts w:hint="default" w:ascii="Wingdings" w:hAnsi="Wingdings"/>
      </w:rPr>
    </w:lvl>
    <w:lvl w:ilvl="7" w:tentative="0">
      <w:start w:val="1"/>
      <w:numFmt w:val="bullet"/>
      <w:lvlText w:val=""/>
      <w:lvlJc w:val="left"/>
      <w:pPr>
        <w:ind w:left="4264" w:hanging="420"/>
      </w:pPr>
      <w:rPr>
        <w:rFonts w:hint="default" w:ascii="Wingdings" w:hAnsi="Wingdings"/>
      </w:rPr>
    </w:lvl>
    <w:lvl w:ilvl="8" w:tentative="0">
      <w:start w:val="1"/>
      <w:numFmt w:val="bullet"/>
      <w:lvlText w:val=""/>
      <w:lvlJc w:val="left"/>
      <w:pPr>
        <w:ind w:left="4684" w:hanging="420"/>
      </w:pPr>
      <w:rPr>
        <w:rFonts w:hint="default" w:ascii="Wingdings" w:hAnsi="Wingdings"/>
      </w:rPr>
    </w:lvl>
  </w:abstractNum>
  <w:abstractNum w:abstractNumId="16">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7">
    <w:nsid w:val="7C326652"/>
    <w:multiLevelType w:val="multilevel"/>
    <w:tmpl w:val="7C326652"/>
    <w:lvl w:ilvl="0" w:tentative="0">
      <w:start w:val="1"/>
      <w:numFmt w:val="bullet"/>
      <w:lvlText w:val=""/>
      <w:lvlJc w:val="left"/>
      <w:pPr>
        <w:ind w:left="1324" w:hanging="420"/>
      </w:pPr>
      <w:rPr>
        <w:rFonts w:hint="default" w:ascii="Wingdings" w:hAnsi="Wingdings"/>
      </w:rPr>
    </w:lvl>
    <w:lvl w:ilvl="1" w:tentative="0">
      <w:start w:val="1"/>
      <w:numFmt w:val="bullet"/>
      <w:lvlText w:val=""/>
      <w:lvlJc w:val="left"/>
      <w:pPr>
        <w:ind w:left="1744" w:hanging="420"/>
      </w:pPr>
      <w:rPr>
        <w:rFonts w:hint="default" w:ascii="Wingdings" w:hAnsi="Wingdings"/>
      </w:rPr>
    </w:lvl>
    <w:lvl w:ilvl="2" w:tentative="0">
      <w:start w:val="1"/>
      <w:numFmt w:val="bullet"/>
      <w:lvlText w:val=""/>
      <w:lvlJc w:val="left"/>
      <w:pPr>
        <w:ind w:left="2164" w:hanging="420"/>
      </w:pPr>
      <w:rPr>
        <w:rFonts w:hint="default" w:ascii="Wingdings" w:hAnsi="Wingdings"/>
      </w:rPr>
    </w:lvl>
    <w:lvl w:ilvl="3" w:tentative="0">
      <w:start w:val="1"/>
      <w:numFmt w:val="bullet"/>
      <w:lvlText w:val=""/>
      <w:lvlJc w:val="left"/>
      <w:pPr>
        <w:ind w:left="2584" w:hanging="420"/>
      </w:pPr>
      <w:rPr>
        <w:rFonts w:hint="default" w:ascii="Wingdings" w:hAnsi="Wingdings"/>
      </w:rPr>
    </w:lvl>
    <w:lvl w:ilvl="4" w:tentative="0">
      <w:start w:val="1"/>
      <w:numFmt w:val="bullet"/>
      <w:lvlText w:val=""/>
      <w:lvlJc w:val="left"/>
      <w:pPr>
        <w:ind w:left="3004" w:hanging="420"/>
      </w:pPr>
      <w:rPr>
        <w:rFonts w:hint="default" w:ascii="Wingdings" w:hAnsi="Wingdings"/>
      </w:rPr>
    </w:lvl>
    <w:lvl w:ilvl="5" w:tentative="0">
      <w:start w:val="1"/>
      <w:numFmt w:val="bullet"/>
      <w:lvlText w:val=""/>
      <w:lvlJc w:val="left"/>
      <w:pPr>
        <w:ind w:left="3424" w:hanging="420"/>
      </w:pPr>
      <w:rPr>
        <w:rFonts w:hint="default" w:ascii="Wingdings" w:hAnsi="Wingdings"/>
      </w:rPr>
    </w:lvl>
    <w:lvl w:ilvl="6" w:tentative="0">
      <w:start w:val="1"/>
      <w:numFmt w:val="bullet"/>
      <w:lvlText w:val=""/>
      <w:lvlJc w:val="left"/>
      <w:pPr>
        <w:ind w:left="3844" w:hanging="420"/>
      </w:pPr>
      <w:rPr>
        <w:rFonts w:hint="default" w:ascii="Wingdings" w:hAnsi="Wingdings"/>
      </w:rPr>
    </w:lvl>
    <w:lvl w:ilvl="7" w:tentative="0">
      <w:start w:val="1"/>
      <w:numFmt w:val="bullet"/>
      <w:lvlText w:val=""/>
      <w:lvlJc w:val="left"/>
      <w:pPr>
        <w:ind w:left="4264" w:hanging="420"/>
      </w:pPr>
      <w:rPr>
        <w:rFonts w:hint="default" w:ascii="Wingdings" w:hAnsi="Wingdings"/>
      </w:rPr>
    </w:lvl>
    <w:lvl w:ilvl="8" w:tentative="0">
      <w:start w:val="1"/>
      <w:numFmt w:val="bullet"/>
      <w:lvlText w:val=""/>
      <w:lvlJc w:val="left"/>
      <w:pPr>
        <w:ind w:left="4684" w:hanging="420"/>
      </w:pPr>
      <w:rPr>
        <w:rFonts w:hint="default" w:ascii="Wingdings" w:hAnsi="Wingdings"/>
      </w:rPr>
    </w:lvl>
  </w:abstractNum>
  <w:num w:numId="1">
    <w:abstractNumId w:val="6"/>
  </w:num>
  <w:num w:numId="2">
    <w:abstractNumId w:val="4"/>
  </w:num>
  <w:num w:numId="3">
    <w:abstractNumId w:val="12"/>
  </w:num>
  <w:num w:numId="4">
    <w:abstractNumId w:val="11"/>
  </w:num>
  <w:num w:numId="5">
    <w:abstractNumId w:val="8"/>
  </w:num>
  <w:num w:numId="6">
    <w:abstractNumId w:val="9"/>
  </w:num>
  <w:num w:numId="7">
    <w:abstractNumId w:val="1"/>
  </w:num>
  <w:num w:numId="8">
    <w:abstractNumId w:val="17"/>
  </w:num>
  <w:num w:numId="9">
    <w:abstractNumId w:val="0"/>
  </w:num>
  <w:num w:numId="10">
    <w:abstractNumId w:val="15"/>
  </w:num>
  <w:num w:numId="11">
    <w:abstractNumId w:val="5"/>
  </w:num>
  <w:num w:numId="12">
    <w:abstractNumId w:val="16"/>
  </w:num>
  <w:num w:numId="13">
    <w:abstractNumId w:val="2"/>
  </w:num>
  <w:num w:numId="14">
    <w:abstractNumId w:val="7"/>
  </w:num>
  <w:num w:numId="15">
    <w:abstractNumId w:val="14"/>
  </w:num>
  <w:num w:numId="16">
    <w:abstractNumId w:val="10"/>
  </w:num>
  <w:num w:numId="17">
    <w:abstractNumId w:val="3"/>
  </w:num>
  <w:num w:numId="18">
    <w:abstractNumId w:val="10"/>
  </w:num>
  <w:num w:numId="19">
    <w:abstractNumId w:val="3"/>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embedTrueTypeFonts/>
  <w:embedSystem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512"/>
    <w:rsid w:val="0000196C"/>
    <w:rsid w:val="00004A93"/>
    <w:rsid w:val="0000789F"/>
    <w:rsid w:val="0001068D"/>
    <w:rsid w:val="000108CC"/>
    <w:rsid w:val="0001306C"/>
    <w:rsid w:val="000175EE"/>
    <w:rsid w:val="0002035D"/>
    <w:rsid w:val="00022F65"/>
    <w:rsid w:val="000357BA"/>
    <w:rsid w:val="00037466"/>
    <w:rsid w:val="00037EC2"/>
    <w:rsid w:val="000529B4"/>
    <w:rsid w:val="0005550F"/>
    <w:rsid w:val="00060E44"/>
    <w:rsid w:val="000701EB"/>
    <w:rsid w:val="0007328F"/>
    <w:rsid w:val="00077E2D"/>
    <w:rsid w:val="00080481"/>
    <w:rsid w:val="00083FF8"/>
    <w:rsid w:val="00084520"/>
    <w:rsid w:val="00086132"/>
    <w:rsid w:val="00087BE0"/>
    <w:rsid w:val="000909D2"/>
    <w:rsid w:val="000970D2"/>
    <w:rsid w:val="000A053A"/>
    <w:rsid w:val="000A1D4E"/>
    <w:rsid w:val="000A2A1B"/>
    <w:rsid w:val="000A328C"/>
    <w:rsid w:val="000A5167"/>
    <w:rsid w:val="000B4331"/>
    <w:rsid w:val="000B5074"/>
    <w:rsid w:val="000C3815"/>
    <w:rsid w:val="000D111D"/>
    <w:rsid w:val="000D124B"/>
    <w:rsid w:val="000D5E6D"/>
    <w:rsid w:val="000D76BF"/>
    <w:rsid w:val="000E24C4"/>
    <w:rsid w:val="000E3CA0"/>
    <w:rsid w:val="000F0D15"/>
    <w:rsid w:val="000F2E46"/>
    <w:rsid w:val="000F6852"/>
    <w:rsid w:val="001031D6"/>
    <w:rsid w:val="00104D69"/>
    <w:rsid w:val="001061EF"/>
    <w:rsid w:val="001063AA"/>
    <w:rsid w:val="00106EAE"/>
    <w:rsid w:val="00121861"/>
    <w:rsid w:val="0012410B"/>
    <w:rsid w:val="0013690B"/>
    <w:rsid w:val="001378F9"/>
    <w:rsid w:val="00145912"/>
    <w:rsid w:val="0015349F"/>
    <w:rsid w:val="00155B41"/>
    <w:rsid w:val="00156E90"/>
    <w:rsid w:val="00156FF4"/>
    <w:rsid w:val="001577DF"/>
    <w:rsid w:val="0016307E"/>
    <w:rsid w:val="00170D55"/>
    <w:rsid w:val="00171946"/>
    <w:rsid w:val="001835C5"/>
    <w:rsid w:val="0018369B"/>
    <w:rsid w:val="00186FF3"/>
    <w:rsid w:val="001A16A9"/>
    <w:rsid w:val="001A37E2"/>
    <w:rsid w:val="001A77A8"/>
    <w:rsid w:val="001B0D0C"/>
    <w:rsid w:val="001B7154"/>
    <w:rsid w:val="001B71CA"/>
    <w:rsid w:val="001C079E"/>
    <w:rsid w:val="001C36EF"/>
    <w:rsid w:val="001C636F"/>
    <w:rsid w:val="001C7E11"/>
    <w:rsid w:val="001D1D1C"/>
    <w:rsid w:val="001D2773"/>
    <w:rsid w:val="001D5EC8"/>
    <w:rsid w:val="001D6F5A"/>
    <w:rsid w:val="001E5446"/>
    <w:rsid w:val="001F15B4"/>
    <w:rsid w:val="001F1ED7"/>
    <w:rsid w:val="001F307E"/>
    <w:rsid w:val="001F60C3"/>
    <w:rsid w:val="0020159A"/>
    <w:rsid w:val="0021288F"/>
    <w:rsid w:val="00233A13"/>
    <w:rsid w:val="002341BB"/>
    <w:rsid w:val="00236BB4"/>
    <w:rsid w:val="00240B57"/>
    <w:rsid w:val="002412B0"/>
    <w:rsid w:val="00241EC0"/>
    <w:rsid w:val="002456ED"/>
    <w:rsid w:val="00247908"/>
    <w:rsid w:val="002504B0"/>
    <w:rsid w:val="00251641"/>
    <w:rsid w:val="00260379"/>
    <w:rsid w:val="00267DD6"/>
    <w:rsid w:val="0027299A"/>
    <w:rsid w:val="002845F7"/>
    <w:rsid w:val="00290293"/>
    <w:rsid w:val="002919DF"/>
    <w:rsid w:val="0029350E"/>
    <w:rsid w:val="00293719"/>
    <w:rsid w:val="002A079A"/>
    <w:rsid w:val="002A2222"/>
    <w:rsid w:val="002A5355"/>
    <w:rsid w:val="002B514C"/>
    <w:rsid w:val="002B7872"/>
    <w:rsid w:val="002C2A51"/>
    <w:rsid w:val="002D1D92"/>
    <w:rsid w:val="002D6879"/>
    <w:rsid w:val="002D6C65"/>
    <w:rsid w:val="002E262B"/>
    <w:rsid w:val="002E3AC7"/>
    <w:rsid w:val="002E3DBB"/>
    <w:rsid w:val="002E43CB"/>
    <w:rsid w:val="002E47DF"/>
    <w:rsid w:val="002E7122"/>
    <w:rsid w:val="002F077D"/>
    <w:rsid w:val="00303375"/>
    <w:rsid w:val="00303E5C"/>
    <w:rsid w:val="00307901"/>
    <w:rsid w:val="003140A6"/>
    <w:rsid w:val="003168DE"/>
    <w:rsid w:val="00317CE5"/>
    <w:rsid w:val="0032194F"/>
    <w:rsid w:val="003276E9"/>
    <w:rsid w:val="0033069F"/>
    <w:rsid w:val="003312F8"/>
    <w:rsid w:val="00336835"/>
    <w:rsid w:val="003666FE"/>
    <w:rsid w:val="003703CC"/>
    <w:rsid w:val="00372098"/>
    <w:rsid w:val="003738E1"/>
    <w:rsid w:val="00376307"/>
    <w:rsid w:val="00380DE2"/>
    <w:rsid w:val="00382A44"/>
    <w:rsid w:val="00384377"/>
    <w:rsid w:val="00385016"/>
    <w:rsid w:val="003862C2"/>
    <w:rsid w:val="00390E80"/>
    <w:rsid w:val="00393D47"/>
    <w:rsid w:val="003A1F74"/>
    <w:rsid w:val="003A2E2D"/>
    <w:rsid w:val="003A537C"/>
    <w:rsid w:val="003B2685"/>
    <w:rsid w:val="003B338F"/>
    <w:rsid w:val="003C19A0"/>
    <w:rsid w:val="003C5DF8"/>
    <w:rsid w:val="003D54B9"/>
    <w:rsid w:val="003D5C44"/>
    <w:rsid w:val="003E7106"/>
    <w:rsid w:val="003F0715"/>
    <w:rsid w:val="003F20DE"/>
    <w:rsid w:val="003F4306"/>
    <w:rsid w:val="003F5EB4"/>
    <w:rsid w:val="00401225"/>
    <w:rsid w:val="00401AE2"/>
    <w:rsid w:val="00403ECF"/>
    <w:rsid w:val="00410937"/>
    <w:rsid w:val="00412097"/>
    <w:rsid w:val="00412960"/>
    <w:rsid w:val="0041331F"/>
    <w:rsid w:val="00416618"/>
    <w:rsid w:val="0042652F"/>
    <w:rsid w:val="00426B4D"/>
    <w:rsid w:val="00427372"/>
    <w:rsid w:val="00432310"/>
    <w:rsid w:val="0043674B"/>
    <w:rsid w:val="00437798"/>
    <w:rsid w:val="00445F15"/>
    <w:rsid w:val="00464C86"/>
    <w:rsid w:val="00467AB3"/>
    <w:rsid w:val="00467BDB"/>
    <w:rsid w:val="0047036F"/>
    <w:rsid w:val="00473CB3"/>
    <w:rsid w:val="00475440"/>
    <w:rsid w:val="004800AC"/>
    <w:rsid w:val="00480F49"/>
    <w:rsid w:val="004836FD"/>
    <w:rsid w:val="0048555D"/>
    <w:rsid w:val="00486D2C"/>
    <w:rsid w:val="0048756F"/>
    <w:rsid w:val="00487A2A"/>
    <w:rsid w:val="00487B26"/>
    <w:rsid w:val="004925D2"/>
    <w:rsid w:val="00494B3F"/>
    <w:rsid w:val="00495352"/>
    <w:rsid w:val="004B18CD"/>
    <w:rsid w:val="004B3306"/>
    <w:rsid w:val="004B5D68"/>
    <w:rsid w:val="004C271C"/>
    <w:rsid w:val="004C7122"/>
    <w:rsid w:val="004C7C14"/>
    <w:rsid w:val="004D0817"/>
    <w:rsid w:val="004D4A97"/>
    <w:rsid w:val="004D4E2F"/>
    <w:rsid w:val="004D5862"/>
    <w:rsid w:val="004E0254"/>
    <w:rsid w:val="004E3D6B"/>
    <w:rsid w:val="004E645B"/>
    <w:rsid w:val="004F2A03"/>
    <w:rsid w:val="004F36D6"/>
    <w:rsid w:val="00504109"/>
    <w:rsid w:val="0050486D"/>
    <w:rsid w:val="00505742"/>
    <w:rsid w:val="00506C68"/>
    <w:rsid w:val="0051334E"/>
    <w:rsid w:val="00513BC9"/>
    <w:rsid w:val="00514385"/>
    <w:rsid w:val="0051561D"/>
    <w:rsid w:val="00520C48"/>
    <w:rsid w:val="00523D2D"/>
    <w:rsid w:val="005254F3"/>
    <w:rsid w:val="00526B3E"/>
    <w:rsid w:val="00526C04"/>
    <w:rsid w:val="00535A96"/>
    <w:rsid w:val="00545FA6"/>
    <w:rsid w:val="005465CE"/>
    <w:rsid w:val="00550E39"/>
    <w:rsid w:val="0055266D"/>
    <w:rsid w:val="00555282"/>
    <w:rsid w:val="00557B3D"/>
    <w:rsid w:val="0056127B"/>
    <w:rsid w:val="00566604"/>
    <w:rsid w:val="00570A4B"/>
    <w:rsid w:val="005727E8"/>
    <w:rsid w:val="00574721"/>
    <w:rsid w:val="005777D4"/>
    <w:rsid w:val="00580AEC"/>
    <w:rsid w:val="005857BB"/>
    <w:rsid w:val="00594241"/>
    <w:rsid w:val="005973C3"/>
    <w:rsid w:val="005A5F3E"/>
    <w:rsid w:val="005D10EE"/>
    <w:rsid w:val="005D675A"/>
    <w:rsid w:val="005D7B47"/>
    <w:rsid w:val="005D7FC5"/>
    <w:rsid w:val="005E13C2"/>
    <w:rsid w:val="005E2759"/>
    <w:rsid w:val="005E6F1C"/>
    <w:rsid w:val="005F62A3"/>
    <w:rsid w:val="006033E7"/>
    <w:rsid w:val="00607600"/>
    <w:rsid w:val="00610E3D"/>
    <w:rsid w:val="00621977"/>
    <w:rsid w:val="00622624"/>
    <w:rsid w:val="006306AD"/>
    <w:rsid w:val="00630ACD"/>
    <w:rsid w:val="006322A6"/>
    <w:rsid w:val="00647680"/>
    <w:rsid w:val="00647EB5"/>
    <w:rsid w:val="00647F08"/>
    <w:rsid w:val="006502E0"/>
    <w:rsid w:val="00650A3E"/>
    <w:rsid w:val="00652F9F"/>
    <w:rsid w:val="00654CF6"/>
    <w:rsid w:val="00662720"/>
    <w:rsid w:val="00665FD0"/>
    <w:rsid w:val="00666294"/>
    <w:rsid w:val="0066771D"/>
    <w:rsid w:val="00667897"/>
    <w:rsid w:val="00672F10"/>
    <w:rsid w:val="006813E7"/>
    <w:rsid w:val="00684342"/>
    <w:rsid w:val="00684621"/>
    <w:rsid w:val="00685E82"/>
    <w:rsid w:val="00685F01"/>
    <w:rsid w:val="00690A38"/>
    <w:rsid w:val="00691ED5"/>
    <w:rsid w:val="00692A5F"/>
    <w:rsid w:val="00695E22"/>
    <w:rsid w:val="00696615"/>
    <w:rsid w:val="006970BD"/>
    <w:rsid w:val="006B18CB"/>
    <w:rsid w:val="006B2FED"/>
    <w:rsid w:val="006B73F4"/>
    <w:rsid w:val="006D4E35"/>
    <w:rsid w:val="006D6352"/>
    <w:rsid w:val="006E08FE"/>
    <w:rsid w:val="006E376B"/>
    <w:rsid w:val="006E46D2"/>
    <w:rsid w:val="006E6D89"/>
    <w:rsid w:val="00700F73"/>
    <w:rsid w:val="00702B80"/>
    <w:rsid w:val="0070311C"/>
    <w:rsid w:val="00703AB8"/>
    <w:rsid w:val="00710578"/>
    <w:rsid w:val="0071408A"/>
    <w:rsid w:val="00723841"/>
    <w:rsid w:val="00725340"/>
    <w:rsid w:val="0073435D"/>
    <w:rsid w:val="0074144C"/>
    <w:rsid w:val="00744824"/>
    <w:rsid w:val="007634CD"/>
    <w:rsid w:val="00765AFF"/>
    <w:rsid w:val="007676A7"/>
    <w:rsid w:val="00770B50"/>
    <w:rsid w:val="0077216E"/>
    <w:rsid w:val="007743D8"/>
    <w:rsid w:val="00775F1D"/>
    <w:rsid w:val="00776672"/>
    <w:rsid w:val="00780699"/>
    <w:rsid w:val="007818DB"/>
    <w:rsid w:val="00786682"/>
    <w:rsid w:val="007976D5"/>
    <w:rsid w:val="007A0BE1"/>
    <w:rsid w:val="007A1596"/>
    <w:rsid w:val="007B2ED5"/>
    <w:rsid w:val="007B7313"/>
    <w:rsid w:val="007B7E85"/>
    <w:rsid w:val="007C4945"/>
    <w:rsid w:val="007D2BCD"/>
    <w:rsid w:val="007D657C"/>
    <w:rsid w:val="007E0171"/>
    <w:rsid w:val="007E02FB"/>
    <w:rsid w:val="007E0CC2"/>
    <w:rsid w:val="007E2867"/>
    <w:rsid w:val="007F0E95"/>
    <w:rsid w:val="007F0FF6"/>
    <w:rsid w:val="007F1E10"/>
    <w:rsid w:val="007F32EB"/>
    <w:rsid w:val="007F3CFB"/>
    <w:rsid w:val="007F5749"/>
    <w:rsid w:val="0080173B"/>
    <w:rsid w:val="0080295C"/>
    <w:rsid w:val="00802CEE"/>
    <w:rsid w:val="00805C3B"/>
    <w:rsid w:val="0081530F"/>
    <w:rsid w:val="008231DA"/>
    <w:rsid w:val="0082406D"/>
    <w:rsid w:val="008313B5"/>
    <w:rsid w:val="0083188E"/>
    <w:rsid w:val="0083415A"/>
    <w:rsid w:val="00835B31"/>
    <w:rsid w:val="00836E34"/>
    <w:rsid w:val="00847A03"/>
    <w:rsid w:val="0085487E"/>
    <w:rsid w:val="00854C06"/>
    <w:rsid w:val="0085575A"/>
    <w:rsid w:val="00860243"/>
    <w:rsid w:val="008606BF"/>
    <w:rsid w:val="008608D1"/>
    <w:rsid w:val="00866D35"/>
    <w:rsid w:val="00867B78"/>
    <w:rsid w:val="00871A39"/>
    <w:rsid w:val="00883609"/>
    <w:rsid w:val="00884913"/>
    <w:rsid w:val="008854F4"/>
    <w:rsid w:val="008855CB"/>
    <w:rsid w:val="0088569D"/>
    <w:rsid w:val="00891518"/>
    <w:rsid w:val="008977F8"/>
    <w:rsid w:val="008A30C9"/>
    <w:rsid w:val="008B0FD2"/>
    <w:rsid w:val="008B30F1"/>
    <w:rsid w:val="008B3286"/>
    <w:rsid w:val="008B33B5"/>
    <w:rsid w:val="008B5D94"/>
    <w:rsid w:val="008B6D15"/>
    <w:rsid w:val="008B6DF5"/>
    <w:rsid w:val="008C191B"/>
    <w:rsid w:val="008C4054"/>
    <w:rsid w:val="008C4DFD"/>
    <w:rsid w:val="008C5921"/>
    <w:rsid w:val="008C660F"/>
    <w:rsid w:val="008D07E1"/>
    <w:rsid w:val="008D7CF1"/>
    <w:rsid w:val="008E4876"/>
    <w:rsid w:val="008E4EAC"/>
    <w:rsid w:val="008E7375"/>
    <w:rsid w:val="00902FA8"/>
    <w:rsid w:val="00903527"/>
    <w:rsid w:val="00903762"/>
    <w:rsid w:val="00904524"/>
    <w:rsid w:val="00905CAF"/>
    <w:rsid w:val="009137A1"/>
    <w:rsid w:val="009173B1"/>
    <w:rsid w:val="00921031"/>
    <w:rsid w:val="00924FD5"/>
    <w:rsid w:val="0092773B"/>
    <w:rsid w:val="00931054"/>
    <w:rsid w:val="00934A43"/>
    <w:rsid w:val="0093635B"/>
    <w:rsid w:val="009377C8"/>
    <w:rsid w:val="009404F4"/>
    <w:rsid w:val="00942C6F"/>
    <w:rsid w:val="009434FF"/>
    <w:rsid w:val="0094605D"/>
    <w:rsid w:val="00950A42"/>
    <w:rsid w:val="00955729"/>
    <w:rsid w:val="009578CA"/>
    <w:rsid w:val="00957F18"/>
    <w:rsid w:val="00962788"/>
    <w:rsid w:val="00965432"/>
    <w:rsid w:val="00965DDA"/>
    <w:rsid w:val="00972C19"/>
    <w:rsid w:val="00974043"/>
    <w:rsid w:val="00974DE0"/>
    <w:rsid w:val="00976DA8"/>
    <w:rsid w:val="0099751F"/>
    <w:rsid w:val="009A19F7"/>
    <w:rsid w:val="009A3738"/>
    <w:rsid w:val="009A416A"/>
    <w:rsid w:val="009A696B"/>
    <w:rsid w:val="009A7850"/>
    <w:rsid w:val="009B089B"/>
    <w:rsid w:val="009B3716"/>
    <w:rsid w:val="009B6061"/>
    <w:rsid w:val="009B6A47"/>
    <w:rsid w:val="009B6E12"/>
    <w:rsid w:val="009C1D6C"/>
    <w:rsid w:val="009C4FF3"/>
    <w:rsid w:val="009D575F"/>
    <w:rsid w:val="009D643F"/>
    <w:rsid w:val="009D7576"/>
    <w:rsid w:val="009E3635"/>
    <w:rsid w:val="009F17B2"/>
    <w:rsid w:val="009F45B5"/>
    <w:rsid w:val="009F67B8"/>
    <w:rsid w:val="009F6F17"/>
    <w:rsid w:val="009F6F91"/>
    <w:rsid w:val="00A020DB"/>
    <w:rsid w:val="00A06CF2"/>
    <w:rsid w:val="00A0704D"/>
    <w:rsid w:val="00A10CEB"/>
    <w:rsid w:val="00A14BEC"/>
    <w:rsid w:val="00A14ED0"/>
    <w:rsid w:val="00A1511F"/>
    <w:rsid w:val="00A22A67"/>
    <w:rsid w:val="00A22D70"/>
    <w:rsid w:val="00A22E89"/>
    <w:rsid w:val="00A2682D"/>
    <w:rsid w:val="00A30FC7"/>
    <w:rsid w:val="00A335A6"/>
    <w:rsid w:val="00A34937"/>
    <w:rsid w:val="00A368FC"/>
    <w:rsid w:val="00A40D1F"/>
    <w:rsid w:val="00A41216"/>
    <w:rsid w:val="00A43460"/>
    <w:rsid w:val="00A50AE3"/>
    <w:rsid w:val="00A52658"/>
    <w:rsid w:val="00A53471"/>
    <w:rsid w:val="00A54CCD"/>
    <w:rsid w:val="00A56248"/>
    <w:rsid w:val="00A57A0C"/>
    <w:rsid w:val="00A57ED8"/>
    <w:rsid w:val="00A6279B"/>
    <w:rsid w:val="00A62B98"/>
    <w:rsid w:val="00A62DE5"/>
    <w:rsid w:val="00A652C5"/>
    <w:rsid w:val="00A81E15"/>
    <w:rsid w:val="00A844CE"/>
    <w:rsid w:val="00A8536A"/>
    <w:rsid w:val="00A863D6"/>
    <w:rsid w:val="00A90832"/>
    <w:rsid w:val="00A93ED1"/>
    <w:rsid w:val="00AA0973"/>
    <w:rsid w:val="00AA4304"/>
    <w:rsid w:val="00AA47D8"/>
    <w:rsid w:val="00AB30E9"/>
    <w:rsid w:val="00AB5FBE"/>
    <w:rsid w:val="00AC0A53"/>
    <w:rsid w:val="00AC2BCD"/>
    <w:rsid w:val="00AC3A51"/>
    <w:rsid w:val="00AD47AC"/>
    <w:rsid w:val="00AD4CA0"/>
    <w:rsid w:val="00AD4E2A"/>
    <w:rsid w:val="00AE693C"/>
    <w:rsid w:val="00AF0AF0"/>
    <w:rsid w:val="00AF45A1"/>
    <w:rsid w:val="00B0284C"/>
    <w:rsid w:val="00B0384A"/>
    <w:rsid w:val="00B03FFB"/>
    <w:rsid w:val="00B10492"/>
    <w:rsid w:val="00B11331"/>
    <w:rsid w:val="00B12086"/>
    <w:rsid w:val="00B15422"/>
    <w:rsid w:val="00B279AB"/>
    <w:rsid w:val="00B27FB6"/>
    <w:rsid w:val="00B31492"/>
    <w:rsid w:val="00B32E75"/>
    <w:rsid w:val="00B40027"/>
    <w:rsid w:val="00B46B89"/>
    <w:rsid w:val="00B53AA8"/>
    <w:rsid w:val="00B562C8"/>
    <w:rsid w:val="00B61C3E"/>
    <w:rsid w:val="00B62169"/>
    <w:rsid w:val="00B6500D"/>
    <w:rsid w:val="00B65FB3"/>
    <w:rsid w:val="00B70533"/>
    <w:rsid w:val="00B71E89"/>
    <w:rsid w:val="00B735E4"/>
    <w:rsid w:val="00B73E63"/>
    <w:rsid w:val="00B85B21"/>
    <w:rsid w:val="00B96FBC"/>
    <w:rsid w:val="00B97A8A"/>
    <w:rsid w:val="00BA00FD"/>
    <w:rsid w:val="00BA6841"/>
    <w:rsid w:val="00BA72D9"/>
    <w:rsid w:val="00BB0B27"/>
    <w:rsid w:val="00BB172B"/>
    <w:rsid w:val="00BB65F0"/>
    <w:rsid w:val="00BB6FA3"/>
    <w:rsid w:val="00BB7304"/>
    <w:rsid w:val="00BB784C"/>
    <w:rsid w:val="00BB7E06"/>
    <w:rsid w:val="00BC179F"/>
    <w:rsid w:val="00BC3DD6"/>
    <w:rsid w:val="00BC6730"/>
    <w:rsid w:val="00BD27DC"/>
    <w:rsid w:val="00BE347B"/>
    <w:rsid w:val="00BE641A"/>
    <w:rsid w:val="00BF4C02"/>
    <w:rsid w:val="00C01E2C"/>
    <w:rsid w:val="00C0269B"/>
    <w:rsid w:val="00C07F4F"/>
    <w:rsid w:val="00C10EE6"/>
    <w:rsid w:val="00C14A61"/>
    <w:rsid w:val="00C14E36"/>
    <w:rsid w:val="00C16725"/>
    <w:rsid w:val="00C222B7"/>
    <w:rsid w:val="00C2346E"/>
    <w:rsid w:val="00C27664"/>
    <w:rsid w:val="00C3213E"/>
    <w:rsid w:val="00C462B5"/>
    <w:rsid w:val="00C46C19"/>
    <w:rsid w:val="00C50DE3"/>
    <w:rsid w:val="00C557E1"/>
    <w:rsid w:val="00C579BD"/>
    <w:rsid w:val="00C63F1D"/>
    <w:rsid w:val="00C64996"/>
    <w:rsid w:val="00C64CBF"/>
    <w:rsid w:val="00C70449"/>
    <w:rsid w:val="00C75860"/>
    <w:rsid w:val="00C800F0"/>
    <w:rsid w:val="00C82308"/>
    <w:rsid w:val="00C933D3"/>
    <w:rsid w:val="00C93EC5"/>
    <w:rsid w:val="00CA0B21"/>
    <w:rsid w:val="00CA1521"/>
    <w:rsid w:val="00CA1B14"/>
    <w:rsid w:val="00CA4B0B"/>
    <w:rsid w:val="00CB081E"/>
    <w:rsid w:val="00CB2A81"/>
    <w:rsid w:val="00CB41A1"/>
    <w:rsid w:val="00CB4827"/>
    <w:rsid w:val="00CB6120"/>
    <w:rsid w:val="00CC2BF7"/>
    <w:rsid w:val="00CC2C04"/>
    <w:rsid w:val="00CC4278"/>
    <w:rsid w:val="00CC5444"/>
    <w:rsid w:val="00CD0FED"/>
    <w:rsid w:val="00CD4357"/>
    <w:rsid w:val="00CE042C"/>
    <w:rsid w:val="00CE4785"/>
    <w:rsid w:val="00CF0C79"/>
    <w:rsid w:val="00CF1DEF"/>
    <w:rsid w:val="00CF34F2"/>
    <w:rsid w:val="00D04266"/>
    <w:rsid w:val="00D11C6B"/>
    <w:rsid w:val="00D122E0"/>
    <w:rsid w:val="00D16151"/>
    <w:rsid w:val="00D20C96"/>
    <w:rsid w:val="00D21B14"/>
    <w:rsid w:val="00D253C5"/>
    <w:rsid w:val="00D30968"/>
    <w:rsid w:val="00D3578D"/>
    <w:rsid w:val="00D37D05"/>
    <w:rsid w:val="00D4750E"/>
    <w:rsid w:val="00D479CA"/>
    <w:rsid w:val="00D509D1"/>
    <w:rsid w:val="00D52716"/>
    <w:rsid w:val="00D5305B"/>
    <w:rsid w:val="00D5495D"/>
    <w:rsid w:val="00D563F1"/>
    <w:rsid w:val="00D573C8"/>
    <w:rsid w:val="00D64D5B"/>
    <w:rsid w:val="00D64E5D"/>
    <w:rsid w:val="00D67B46"/>
    <w:rsid w:val="00D72DEA"/>
    <w:rsid w:val="00D75058"/>
    <w:rsid w:val="00D750F6"/>
    <w:rsid w:val="00D75DC9"/>
    <w:rsid w:val="00D77E3D"/>
    <w:rsid w:val="00D84AF2"/>
    <w:rsid w:val="00D84B13"/>
    <w:rsid w:val="00D9763F"/>
    <w:rsid w:val="00DA165D"/>
    <w:rsid w:val="00DA53C1"/>
    <w:rsid w:val="00DA6594"/>
    <w:rsid w:val="00DA7319"/>
    <w:rsid w:val="00DA791D"/>
    <w:rsid w:val="00DB14B0"/>
    <w:rsid w:val="00DB4B46"/>
    <w:rsid w:val="00DB4C7B"/>
    <w:rsid w:val="00DB4CA6"/>
    <w:rsid w:val="00DD0774"/>
    <w:rsid w:val="00DD3690"/>
    <w:rsid w:val="00DE6F00"/>
    <w:rsid w:val="00DE7C3C"/>
    <w:rsid w:val="00DF2A2D"/>
    <w:rsid w:val="00DF616D"/>
    <w:rsid w:val="00E00E48"/>
    <w:rsid w:val="00E04F57"/>
    <w:rsid w:val="00E14C26"/>
    <w:rsid w:val="00E15788"/>
    <w:rsid w:val="00E26AF1"/>
    <w:rsid w:val="00E316B4"/>
    <w:rsid w:val="00E345F4"/>
    <w:rsid w:val="00E41711"/>
    <w:rsid w:val="00E6245B"/>
    <w:rsid w:val="00E629EF"/>
    <w:rsid w:val="00E64EDC"/>
    <w:rsid w:val="00E6698F"/>
    <w:rsid w:val="00E66F43"/>
    <w:rsid w:val="00E75480"/>
    <w:rsid w:val="00E76A7B"/>
    <w:rsid w:val="00E76F28"/>
    <w:rsid w:val="00E8045D"/>
    <w:rsid w:val="00E86FC2"/>
    <w:rsid w:val="00E87502"/>
    <w:rsid w:val="00E90953"/>
    <w:rsid w:val="00E9723A"/>
    <w:rsid w:val="00EA2458"/>
    <w:rsid w:val="00EA3031"/>
    <w:rsid w:val="00EA47AA"/>
    <w:rsid w:val="00EA5A3C"/>
    <w:rsid w:val="00EA72FB"/>
    <w:rsid w:val="00EA78A2"/>
    <w:rsid w:val="00EA7F0F"/>
    <w:rsid w:val="00EA7F55"/>
    <w:rsid w:val="00EB2AF9"/>
    <w:rsid w:val="00EB2ED7"/>
    <w:rsid w:val="00EB3736"/>
    <w:rsid w:val="00EB3C83"/>
    <w:rsid w:val="00ED168B"/>
    <w:rsid w:val="00ED337F"/>
    <w:rsid w:val="00ED5317"/>
    <w:rsid w:val="00ED7E72"/>
    <w:rsid w:val="00EE1CF1"/>
    <w:rsid w:val="00EE31E6"/>
    <w:rsid w:val="00EE68FE"/>
    <w:rsid w:val="00EF51EB"/>
    <w:rsid w:val="00EF57F6"/>
    <w:rsid w:val="00F03338"/>
    <w:rsid w:val="00F0372F"/>
    <w:rsid w:val="00F144D0"/>
    <w:rsid w:val="00F15CF1"/>
    <w:rsid w:val="00F16BFF"/>
    <w:rsid w:val="00F30EA0"/>
    <w:rsid w:val="00F3553B"/>
    <w:rsid w:val="00F374A5"/>
    <w:rsid w:val="00F37509"/>
    <w:rsid w:val="00F4149D"/>
    <w:rsid w:val="00F46C32"/>
    <w:rsid w:val="00F500E3"/>
    <w:rsid w:val="00F5052B"/>
    <w:rsid w:val="00F50808"/>
    <w:rsid w:val="00F542B8"/>
    <w:rsid w:val="00F637FE"/>
    <w:rsid w:val="00F66A34"/>
    <w:rsid w:val="00F70D22"/>
    <w:rsid w:val="00F733C7"/>
    <w:rsid w:val="00F73A1A"/>
    <w:rsid w:val="00F75F43"/>
    <w:rsid w:val="00F83992"/>
    <w:rsid w:val="00F93E44"/>
    <w:rsid w:val="00F977C5"/>
    <w:rsid w:val="00FA1745"/>
    <w:rsid w:val="00FA51F8"/>
    <w:rsid w:val="00FA79AD"/>
    <w:rsid w:val="00FB18E3"/>
    <w:rsid w:val="00FB5ECE"/>
    <w:rsid w:val="00FC0369"/>
    <w:rsid w:val="00FD03E3"/>
    <w:rsid w:val="00FD21E1"/>
    <w:rsid w:val="00FD351D"/>
    <w:rsid w:val="00FD4EEE"/>
    <w:rsid w:val="00FE0AA9"/>
    <w:rsid w:val="00FF3799"/>
    <w:rsid w:val="013B65D7"/>
    <w:rsid w:val="020731AC"/>
    <w:rsid w:val="0362754B"/>
    <w:rsid w:val="08596890"/>
    <w:rsid w:val="088F604B"/>
    <w:rsid w:val="09AC33F7"/>
    <w:rsid w:val="09C400AF"/>
    <w:rsid w:val="0B867CDB"/>
    <w:rsid w:val="0D777E49"/>
    <w:rsid w:val="0D8B438F"/>
    <w:rsid w:val="0E5C0D0F"/>
    <w:rsid w:val="0F6463A1"/>
    <w:rsid w:val="11EB2840"/>
    <w:rsid w:val="126C4DC3"/>
    <w:rsid w:val="130C0A8B"/>
    <w:rsid w:val="13950A51"/>
    <w:rsid w:val="13A97624"/>
    <w:rsid w:val="14261590"/>
    <w:rsid w:val="14731372"/>
    <w:rsid w:val="1590027B"/>
    <w:rsid w:val="161C3253"/>
    <w:rsid w:val="172960FF"/>
    <w:rsid w:val="176579C5"/>
    <w:rsid w:val="17AE3FE8"/>
    <w:rsid w:val="18D30FEE"/>
    <w:rsid w:val="18E82D70"/>
    <w:rsid w:val="19B260F9"/>
    <w:rsid w:val="1AD74062"/>
    <w:rsid w:val="1B1176EF"/>
    <w:rsid w:val="1BAA53E8"/>
    <w:rsid w:val="1BCA7024"/>
    <w:rsid w:val="1D9A6BEB"/>
    <w:rsid w:val="1DB01D18"/>
    <w:rsid w:val="1EB76B5E"/>
    <w:rsid w:val="1ED11BBB"/>
    <w:rsid w:val="1ED279F4"/>
    <w:rsid w:val="1F1F34FE"/>
    <w:rsid w:val="1F8A6F53"/>
    <w:rsid w:val="1F8E71FC"/>
    <w:rsid w:val="204655C7"/>
    <w:rsid w:val="2154543C"/>
    <w:rsid w:val="237A649C"/>
    <w:rsid w:val="242C295C"/>
    <w:rsid w:val="256B5581"/>
    <w:rsid w:val="256E4549"/>
    <w:rsid w:val="25B82406"/>
    <w:rsid w:val="25FB0F41"/>
    <w:rsid w:val="296842BA"/>
    <w:rsid w:val="299B5C0B"/>
    <w:rsid w:val="2C3B0094"/>
    <w:rsid w:val="2DD934C1"/>
    <w:rsid w:val="2E210D9A"/>
    <w:rsid w:val="2ED208F3"/>
    <w:rsid w:val="2EEB7396"/>
    <w:rsid w:val="30745D60"/>
    <w:rsid w:val="30FE4C47"/>
    <w:rsid w:val="31D20009"/>
    <w:rsid w:val="34860E57"/>
    <w:rsid w:val="35EA14D3"/>
    <w:rsid w:val="37533584"/>
    <w:rsid w:val="37953740"/>
    <w:rsid w:val="37E97270"/>
    <w:rsid w:val="384315AB"/>
    <w:rsid w:val="38773154"/>
    <w:rsid w:val="39433AB8"/>
    <w:rsid w:val="398232E0"/>
    <w:rsid w:val="3B305660"/>
    <w:rsid w:val="3BDC510E"/>
    <w:rsid w:val="3C406232"/>
    <w:rsid w:val="3E4C7D99"/>
    <w:rsid w:val="3EA408EF"/>
    <w:rsid w:val="3F6D0A8C"/>
    <w:rsid w:val="3FF42A71"/>
    <w:rsid w:val="40032160"/>
    <w:rsid w:val="40A62E8A"/>
    <w:rsid w:val="433253A9"/>
    <w:rsid w:val="43F36FA7"/>
    <w:rsid w:val="444A117E"/>
    <w:rsid w:val="44EE466A"/>
    <w:rsid w:val="45725B26"/>
    <w:rsid w:val="45F07ABE"/>
    <w:rsid w:val="467970E3"/>
    <w:rsid w:val="47367CB6"/>
    <w:rsid w:val="47826D53"/>
    <w:rsid w:val="47B67F31"/>
    <w:rsid w:val="48D85618"/>
    <w:rsid w:val="498750F8"/>
    <w:rsid w:val="4B5F5038"/>
    <w:rsid w:val="4D062CB8"/>
    <w:rsid w:val="4DAF0024"/>
    <w:rsid w:val="4EE324DF"/>
    <w:rsid w:val="4F0A4566"/>
    <w:rsid w:val="505B5D3C"/>
    <w:rsid w:val="51FF6AFD"/>
    <w:rsid w:val="52332F35"/>
    <w:rsid w:val="526624AA"/>
    <w:rsid w:val="52C8511F"/>
    <w:rsid w:val="53622554"/>
    <w:rsid w:val="53D75436"/>
    <w:rsid w:val="5489608C"/>
    <w:rsid w:val="559F5DC1"/>
    <w:rsid w:val="565134FA"/>
    <w:rsid w:val="58163E49"/>
    <w:rsid w:val="59245D1B"/>
    <w:rsid w:val="59FF3E45"/>
    <w:rsid w:val="5B7235B5"/>
    <w:rsid w:val="5B7D7E34"/>
    <w:rsid w:val="5C2F73B9"/>
    <w:rsid w:val="5CA96DBA"/>
    <w:rsid w:val="5D4A2DF6"/>
    <w:rsid w:val="5D995F22"/>
    <w:rsid w:val="5E21639E"/>
    <w:rsid w:val="5E806C57"/>
    <w:rsid w:val="5EC078B5"/>
    <w:rsid w:val="5FDE18BA"/>
    <w:rsid w:val="61990AF2"/>
    <w:rsid w:val="61C67BD6"/>
    <w:rsid w:val="636351AE"/>
    <w:rsid w:val="639E2961"/>
    <w:rsid w:val="67973EF3"/>
    <w:rsid w:val="6990526A"/>
    <w:rsid w:val="69D6436E"/>
    <w:rsid w:val="69FB0DE3"/>
    <w:rsid w:val="6B137E3F"/>
    <w:rsid w:val="6C3C5860"/>
    <w:rsid w:val="6C4950EE"/>
    <w:rsid w:val="6C583576"/>
    <w:rsid w:val="6C8B7A21"/>
    <w:rsid w:val="7089035C"/>
    <w:rsid w:val="70CA798C"/>
    <w:rsid w:val="71432892"/>
    <w:rsid w:val="717F7E5F"/>
    <w:rsid w:val="726B3E10"/>
    <w:rsid w:val="73070C01"/>
    <w:rsid w:val="73815D18"/>
    <w:rsid w:val="740A73CA"/>
    <w:rsid w:val="743F7060"/>
    <w:rsid w:val="752D64E1"/>
    <w:rsid w:val="76501E56"/>
    <w:rsid w:val="77113A72"/>
    <w:rsid w:val="78271803"/>
    <w:rsid w:val="78A7116D"/>
    <w:rsid w:val="7A844B8A"/>
    <w:rsid w:val="7B0C74A8"/>
    <w:rsid w:val="7BCF4E4D"/>
    <w:rsid w:val="7C8A479D"/>
    <w:rsid w:val="7D4F46A6"/>
    <w:rsid w:val="7DB90D82"/>
    <w:rsid w:val="7E8616EE"/>
    <w:rsid w:val="7F3B4CC8"/>
    <w:rsid w:val="7F4471FC"/>
    <w:rsid w:val="7FAB59E3"/>
    <w:rsid w:val="7FDD584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semiHidden="0" w:name="Date"/>
    <w:lsdException w:uiPriority="99" w:name="Body Text First Indent"/>
    <w:lsdException w:uiPriority="99" w:name="Body Text First Indent 2"/>
    <w:lsdException w:uiPriority="99" w:name="Note Heading"/>
    <w:lsdException w:uiPriority="99" w:name="Body Text 2"/>
    <w:lsdException w:unhideWhenUsed="0" w:uiPriority="0" w:semiHidden="0" w:name="Body Text 3"/>
    <w:lsdException w:uiPriority="99" w:name="Body Text Indent 2"/>
    <w:lsdException w:uiPriority="99" w:name="Body Text Indent 3"/>
    <w:lsdException w:uiPriority="99" w:name="Block Text"/>
    <w:lsdException w:unhideWhenUsed="0" w:uiPriority="0"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3"/>
    <w:basedOn w:val="1"/>
    <w:next w:val="1"/>
    <w:link w:val="19"/>
    <w:qFormat/>
    <w:uiPriority w:val="9"/>
    <w:pPr>
      <w:keepNext/>
      <w:keepLines/>
      <w:spacing w:before="260" w:after="260" w:line="416" w:lineRule="auto"/>
      <w:outlineLvl w:val="2"/>
    </w:pPr>
    <w:rPr>
      <w:rFonts w:ascii="Calibri" w:hAnsi="Calibri"/>
      <w:b/>
      <w:bCs/>
      <w:sz w:val="32"/>
      <w:szCs w:val="32"/>
      <w:lang w:eastAsia="en-US"/>
    </w:rPr>
  </w:style>
  <w:style w:type="character" w:default="1" w:styleId="13">
    <w:name w:val="Default Paragraph Font"/>
    <w:uiPriority w:val="0"/>
    <w:rPr>
      <w:rFonts w:ascii="Verdana" w:hAnsi="Verdana" w:eastAsia="仿宋_GB2312"/>
      <w:kern w:val="0"/>
      <w:sz w:val="24"/>
      <w:szCs w:val="20"/>
      <w:lang w:eastAsia="en-US"/>
    </w:rPr>
  </w:style>
  <w:style w:type="table" w:default="1" w:styleId="11">
    <w:name w:val="Normal Table"/>
    <w:unhideWhenUsed/>
    <w:uiPriority w:val="99"/>
    <w:tblPr>
      <w:tblStyle w:val="11"/>
      <w:tblCellMar>
        <w:top w:w="0" w:type="dxa"/>
        <w:left w:w="108" w:type="dxa"/>
        <w:bottom w:w="0" w:type="dxa"/>
        <w:right w:w="108" w:type="dxa"/>
      </w:tblCellMar>
    </w:tblPr>
  </w:style>
  <w:style w:type="paragraph" w:styleId="4">
    <w:name w:val="Body Text 3"/>
    <w:basedOn w:val="1"/>
    <w:uiPriority w:val="0"/>
    <w:pPr>
      <w:spacing w:after="120" w:afterLines="0"/>
    </w:pPr>
    <w:rPr>
      <w:sz w:val="16"/>
      <w:szCs w:val="16"/>
    </w:rPr>
  </w:style>
  <w:style w:type="paragraph" w:styleId="5">
    <w:name w:val="Body Text"/>
    <w:basedOn w:val="1"/>
    <w:uiPriority w:val="0"/>
    <w:pPr>
      <w:spacing w:after="120" w:afterLines="0"/>
    </w:pPr>
  </w:style>
  <w:style w:type="paragraph" w:styleId="6">
    <w:name w:val="Date"/>
    <w:basedOn w:val="1"/>
    <w:next w:val="1"/>
    <w:link w:val="25"/>
    <w:unhideWhenUsed/>
    <w:uiPriority w:val="99"/>
    <w:pPr>
      <w:ind w:left="100" w:leftChars="2500"/>
    </w:pPr>
    <w:rPr>
      <w:rFonts w:eastAsia="仿宋_GB2312"/>
      <w:lang w:eastAsia="en-US"/>
    </w:rPr>
  </w:style>
  <w:style w:type="paragraph" w:styleId="7">
    <w:name w:val="footer"/>
    <w:basedOn w:val="1"/>
    <w:link w:val="17"/>
    <w:uiPriority w:val="0"/>
    <w:pPr>
      <w:tabs>
        <w:tab w:val="center" w:pos="4153"/>
        <w:tab w:val="right" w:pos="8306"/>
      </w:tabs>
      <w:snapToGrid w:val="0"/>
      <w:jc w:val="left"/>
    </w:pPr>
    <w:rPr>
      <w:kern w:val="0"/>
      <w:sz w:val="18"/>
      <w:szCs w:val="18"/>
      <w:lang w:eastAsia="en-US"/>
    </w:rPr>
  </w:style>
  <w:style w:type="paragraph" w:styleId="8">
    <w:name w:val="header"/>
    <w:basedOn w:val="1"/>
    <w:link w:val="23"/>
    <w:uiPriority w:val="0"/>
    <w:pPr>
      <w:pBdr>
        <w:bottom w:val="single" w:color="auto" w:sz="6" w:space="1"/>
      </w:pBdr>
      <w:tabs>
        <w:tab w:val="center" w:pos="4153"/>
        <w:tab w:val="right" w:pos="8306"/>
      </w:tabs>
      <w:snapToGrid w:val="0"/>
      <w:jc w:val="center"/>
    </w:pPr>
    <w:rPr>
      <w:kern w:val="0"/>
      <w:sz w:val="18"/>
      <w:szCs w:val="18"/>
      <w:lang w:eastAsia="en-US"/>
    </w:rPr>
  </w:style>
  <w:style w:type="paragraph" w:styleId="9">
    <w:name w:val="HTML Preformatted"/>
    <w:basedOn w:val="1"/>
    <w:link w:val="24"/>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eastAsia="仿宋_GB2312"/>
      <w:kern w:val="0"/>
      <w:sz w:val="24"/>
      <w:lang w:eastAsia="en-US"/>
    </w:rPr>
  </w:style>
  <w:style w:type="paragraph" w:styleId="10">
    <w:name w:val="Normal (Web)"/>
    <w:basedOn w:val="1"/>
    <w:unhideWhenUsed/>
    <w:uiPriority w:val="99"/>
    <w:pPr>
      <w:spacing w:before="100" w:beforeAutospacing="1" w:after="100" w:afterAutospacing="1"/>
      <w:ind w:left="0" w:right="0"/>
      <w:jc w:val="left"/>
    </w:pPr>
    <w:rPr>
      <w:kern w:val="0"/>
      <w:sz w:val="24"/>
      <w:lang w:val="en-US" w:eastAsia="zh-CN" w:bidi="ar"/>
    </w:rPr>
  </w:style>
  <w:style w:type="table" w:styleId="12">
    <w:name w:val="Table Grid"/>
    <w:basedOn w:val="11"/>
    <w:uiPriority w:val="59"/>
    <w:tblPr>
      <w:tblStyle w:val="11"/>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4">
    <w:name w:val="Strong"/>
    <w:qFormat/>
    <w:uiPriority w:val="22"/>
    <w:rPr>
      <w:rFonts w:ascii="Verdana" w:hAnsi="Verdana" w:eastAsia="仿宋_GB2312"/>
      <w:b/>
      <w:bCs/>
      <w:kern w:val="0"/>
      <w:sz w:val="24"/>
      <w:szCs w:val="20"/>
      <w:lang w:eastAsia="en-US"/>
    </w:rPr>
  </w:style>
  <w:style w:type="character" w:styleId="15">
    <w:name w:val="FollowedHyperlink"/>
    <w:unhideWhenUsed/>
    <w:uiPriority w:val="99"/>
    <w:rPr>
      <w:rFonts w:ascii="Verdana" w:hAnsi="Verdana" w:eastAsia="仿宋_GB2312"/>
      <w:color w:val="607FA6"/>
      <w:kern w:val="0"/>
      <w:sz w:val="24"/>
      <w:szCs w:val="20"/>
      <w:u w:val="none"/>
      <w:lang w:eastAsia="en-US"/>
    </w:rPr>
  </w:style>
  <w:style w:type="character" w:styleId="16">
    <w:name w:val="Hyperlink"/>
    <w:uiPriority w:val="0"/>
    <w:rPr>
      <w:rFonts w:ascii="Verdana" w:hAnsi="Verdana" w:eastAsia="仿宋_GB2312"/>
      <w:color w:val="607FA6"/>
      <w:kern w:val="0"/>
      <w:sz w:val="24"/>
      <w:szCs w:val="20"/>
      <w:u w:val="none"/>
      <w:lang w:eastAsia="en-US"/>
    </w:rPr>
  </w:style>
  <w:style w:type="character" w:customStyle="1" w:styleId="17">
    <w:name w:val="页脚 Char"/>
    <w:link w:val="7"/>
    <w:uiPriority w:val="0"/>
    <w:rPr>
      <w:rFonts w:ascii="Times New Roman" w:hAnsi="Times New Roman" w:eastAsia="宋体" w:cs="Times New Roman"/>
      <w:kern w:val="0"/>
      <w:sz w:val="18"/>
      <w:szCs w:val="18"/>
      <w:lang w:eastAsia="en-US"/>
    </w:rPr>
  </w:style>
  <w:style w:type="character" w:customStyle="1" w:styleId="18">
    <w:name w:val="rich_media_meta_nickname1"/>
    <w:basedOn w:val="13"/>
    <w:uiPriority w:val="0"/>
  </w:style>
  <w:style w:type="character" w:customStyle="1" w:styleId="19">
    <w:name w:val="标题 3 Char"/>
    <w:link w:val="3"/>
    <w:semiHidden/>
    <w:uiPriority w:val="9"/>
    <w:rPr>
      <w:rFonts w:ascii="Calibri" w:hAnsi="Calibri" w:eastAsia="宋体" w:cs="Times New Roman"/>
      <w:b/>
      <w:bCs/>
      <w:kern w:val="2"/>
      <w:sz w:val="32"/>
      <w:szCs w:val="32"/>
      <w:lang w:eastAsia="en-US"/>
    </w:rPr>
  </w:style>
  <w:style w:type="character" w:customStyle="1" w:styleId="20">
    <w:name w:val="页脚 Char1"/>
    <w:semiHidden/>
    <w:locked/>
    <w:uiPriority w:val="0"/>
    <w:rPr>
      <w:rFonts w:ascii="Times New Roman" w:hAnsi="Times New Roman" w:eastAsia="仿宋_GB2312"/>
      <w:kern w:val="0"/>
      <w:sz w:val="18"/>
      <w:szCs w:val="18"/>
      <w:lang w:eastAsia="en-US"/>
    </w:rPr>
  </w:style>
  <w:style w:type="character" w:customStyle="1" w:styleId="21">
    <w:name w:val="rich_media_meta_nickname"/>
    <w:uiPriority w:val="0"/>
    <w:rPr>
      <w:rFonts w:ascii="Verdana" w:hAnsi="Verdana" w:eastAsia="仿宋_GB2312"/>
      <w:vanish/>
      <w:kern w:val="0"/>
      <w:sz w:val="24"/>
      <w:szCs w:val="20"/>
      <w:lang w:eastAsia="en-US"/>
    </w:rPr>
  </w:style>
  <w:style w:type="character" w:customStyle="1" w:styleId="22">
    <w:name w:val="img_bg_cover"/>
    <w:basedOn w:val="13"/>
    <w:uiPriority w:val="0"/>
  </w:style>
  <w:style w:type="character" w:customStyle="1" w:styleId="23">
    <w:name w:val="页眉 Char"/>
    <w:link w:val="8"/>
    <w:uiPriority w:val="0"/>
    <w:rPr>
      <w:rFonts w:ascii="Times New Roman" w:hAnsi="Times New Roman" w:eastAsia="宋体" w:cs="Times New Roman"/>
      <w:kern w:val="0"/>
      <w:sz w:val="18"/>
      <w:szCs w:val="18"/>
      <w:lang w:eastAsia="en-US"/>
    </w:rPr>
  </w:style>
  <w:style w:type="character" w:customStyle="1" w:styleId="24">
    <w:name w:val="HTML 预设格式 Char"/>
    <w:link w:val="9"/>
    <w:uiPriority w:val="0"/>
    <w:rPr>
      <w:rFonts w:ascii="Arial" w:hAnsi="Arial" w:eastAsia="仿宋_GB2312" w:cs="Arial"/>
      <w:kern w:val="0"/>
      <w:sz w:val="24"/>
      <w:szCs w:val="24"/>
      <w:lang w:eastAsia="en-US"/>
    </w:rPr>
  </w:style>
  <w:style w:type="character" w:customStyle="1" w:styleId="25">
    <w:name w:val="日期 Char"/>
    <w:link w:val="6"/>
    <w:semiHidden/>
    <w:uiPriority w:val="99"/>
    <w:rPr>
      <w:rFonts w:ascii="Times New Roman" w:hAnsi="Times New Roman" w:eastAsia="仿宋_GB2312"/>
      <w:kern w:val="2"/>
      <w:sz w:val="21"/>
      <w:szCs w:val="24"/>
      <w:lang w:eastAsia="en-US"/>
    </w:rPr>
  </w:style>
  <w:style w:type="paragraph" w:customStyle="1" w:styleId="26">
    <w:name w:val="Defaul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27">
    <w:name w:val="样式1"/>
    <w:basedOn w:val="2"/>
    <w:qFormat/>
    <w:uiPriority w:val="0"/>
    <w:pPr>
      <w:spacing w:line="360" w:lineRule="auto"/>
      <w:jc w:val="center"/>
    </w:pPr>
    <w:rPr>
      <w:rFonts w:ascii="微软雅黑" w:hAnsi="微软雅黑"/>
      <w:sz w:val="32"/>
      <w:szCs w:val="32"/>
    </w:rPr>
  </w:style>
  <w:style w:type="paragraph" w:customStyle="1" w:styleId="28">
    <w:name w:val="列出段落1"/>
    <w:basedOn w:val="1"/>
    <w:qFormat/>
    <w:uiPriority w:val="34"/>
    <w:pPr>
      <w:ind w:firstLine="420" w:firstLineChars="200"/>
    </w:pPr>
    <w:rPr>
      <w:rFonts w:ascii="Calibri" w:hAnsi="Calibri"/>
      <w:szCs w:val="22"/>
    </w:rPr>
  </w:style>
  <w:style w:type="paragraph" w:styleId="29">
    <w:name w:val="No Spacing"/>
    <w:qFormat/>
    <w:uiPriority w:val="1"/>
    <w:pPr>
      <w:adjustRightInd w:val="0"/>
      <w:snapToGrid w:val="0"/>
    </w:pPr>
    <w:rPr>
      <w:rFonts w:ascii="Tahoma" w:hAnsi="Tahoma" w:eastAsia="微软雅黑"/>
      <w:sz w:val="22"/>
      <w:szCs w:val="22"/>
      <w:lang w:val="en-US" w:eastAsia="zh-CN" w:bidi="ar-SA"/>
    </w:rPr>
  </w:style>
  <w:style w:type="paragraph" w:styleId="30">
    <w:name w:val="List Paragraph"/>
    <w:basedOn w:val="1"/>
    <w:qFormat/>
    <w:uiPriority w:val="34"/>
    <w:pPr>
      <w:ind w:firstLine="420" w:firstLineChars="200"/>
    </w:pPr>
  </w:style>
  <w:style w:type="paragraph" w:customStyle="1" w:styleId="31">
    <w:name w:val="List Paragraph"/>
    <w:basedOn w:val="1"/>
    <w:qFormat/>
    <w:uiPriority w:val="34"/>
    <w:pPr>
      <w:ind w:firstLine="420" w:firstLineChars="200"/>
    </w:pPr>
    <w:rPr>
      <w:szCs w:val="22"/>
    </w:rPr>
  </w:style>
  <w:style w:type="paragraph" w:customStyle="1" w:styleId="32">
    <w:name w:val=" Char"/>
    <w:basedOn w:val="1"/>
    <w:uiPriority w:val="0"/>
    <w:pPr>
      <w:widowControl/>
      <w:spacing w:after="120" w:afterLines="0"/>
      <w:jc w:val="left"/>
    </w:pPr>
    <w:rPr>
      <w:rFonts w:ascii="Verdana" w:hAnsi="Verdana" w:eastAsia="仿宋_GB2312"/>
      <w:kern w:val="0"/>
      <w:sz w:val="24"/>
      <w:szCs w:val="20"/>
      <w:lang w:eastAsia="en-US"/>
    </w:rPr>
  </w:style>
  <w:style w:type="table" w:customStyle="1" w:styleId="33">
    <w:name w:val="中等深浅网格 1 - 强调文字颜色 61"/>
    <w:basedOn w:val="11"/>
    <w:uiPriority w:val="67"/>
    <w:tblPr>
      <w:tblStyle w:val="11"/>
      <w:tblStyleRowBandSize w:val="1"/>
      <w:tblStyleColBandSize w:val="1"/>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blStyle w:val="11"/>
      </w:tblPr>
      <w:tcPr>
        <w:tcBorders>
          <w:top w:val="single" w:color="F9B074" w:sz="18"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blStyle w:val="11"/>
      </w:tblPr>
      <w:tcPr>
        <w:shd w:val="clear" w:color="auto" w:fill="FBCAA2"/>
      </w:tcPr>
    </w:tblStylePr>
    <w:tblStylePr w:type="band1Horz">
      <w:tblPr>
        <w:tblStyle w:val="11"/>
      </w:tblPr>
      <w:tcPr>
        <w:shd w:val="clear" w:color="auto" w:fill="FBCAA2"/>
      </w:tcPr>
    </w:tblStyle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7543</Words>
  <Characters>7612</Characters>
  <Lines>55</Lines>
  <Paragraphs>15</Paragraphs>
  <TotalTime>0</TotalTime>
  <ScaleCrop>false</ScaleCrop>
  <LinksUpToDate>false</LinksUpToDate>
  <CharactersWithSpaces>7646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2021-08-29T09:56:00Z</dcterms:created>
  <dc:creator>中房商学院</dc:creator>
  <dc:description>中房商学院</dc:description>
  <cp:keywords>中房商学院</cp:keywords>
  <cp:lastModifiedBy>蓉儿</cp:lastModifiedBy>
  <cp:lastPrinted>2019-07-04T02:58:00Z</cp:lastPrinted>
  <dcterms:modified xsi:type="dcterms:W3CDTF">2023-01-04T08:22:55Z</dcterms:modified>
  <dc:title>中房商学院</dc:title>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KSORubyTemplateID">
    <vt:lpwstr>6</vt:lpwstr>
  </property>
  <property fmtid="{D5CDD505-2E9C-101B-9397-08002B2CF9AE}" pid="4" name="ICV">
    <vt:lpwstr>234463736DF74B22B66165C9F4F71787</vt:lpwstr>
  </property>
</Properties>
</file>