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3"/>
        <w:tblW w:w="5000" w:type="pct"/>
        <w:jc w:val="center"/>
        <w:tblCellSpacing w:w="7" w:type="dxa"/>
        <w:tblBorders>
          <w:top w:val="outset" w:color="EFEFEF" w:sz="6" w:space="0"/>
          <w:left w:val="outset" w:color="EFEFEF" w:sz="6" w:space="0"/>
          <w:bottom w:val="outset" w:color="EFEFEF" w:sz="6" w:space="0"/>
          <w:right w:val="outset" w:color="EFEFEF" w:sz="6" w:space="0"/>
          <w:insideH w:val="none" w:color="auto" w:sz="0" w:space="0"/>
          <w:insideV w:val="none" w:color="auto" w:sz="0" w:space="0"/>
        </w:tblBorders>
        <w:tblLayout w:type="autofit"/>
        <w:tblCellMar>
          <w:top w:w="15" w:type="dxa"/>
          <w:left w:w="15" w:type="dxa"/>
          <w:bottom w:w="15" w:type="dxa"/>
          <w:right w:w="15" w:type="dxa"/>
        </w:tblCellMar>
      </w:tblPr>
      <w:tblGrid>
        <w:gridCol w:w="1427"/>
        <w:gridCol w:w="6967"/>
      </w:tblGrid>
      <w:tr>
        <w:tblPrEx>
          <w:tblBorders>
            <w:top w:val="outset" w:color="EFEFEF" w:sz="6" w:space="0"/>
            <w:left w:val="outset" w:color="EFEFEF" w:sz="6" w:space="0"/>
            <w:bottom w:val="outset" w:color="EFEFEF" w:sz="6" w:space="0"/>
            <w:right w:val="outset" w:color="EFEFEF" w:sz="6" w:space="0"/>
            <w:insideH w:val="none" w:color="auto" w:sz="0" w:space="0"/>
            <w:insideV w:val="none" w:color="auto" w:sz="0" w:space="0"/>
          </w:tblBorders>
          <w:tblCellMar>
            <w:top w:w="15" w:type="dxa"/>
            <w:left w:w="15" w:type="dxa"/>
            <w:bottom w:w="15" w:type="dxa"/>
            <w:right w:w="15" w:type="dxa"/>
          </w:tblCellMar>
        </w:tblPrEx>
        <w:trPr>
          <w:trHeight w:val="465" w:hRule="atLeast"/>
          <w:tblCellSpacing w:w="7" w:type="dxa"/>
          <w:jc w:val="center"/>
        </w:trPr>
        <w:tc>
          <w:tcPr>
            <w:tcW w:w="838" w:type="pct"/>
            <w:tcBorders>
              <w:top w:val="outset" w:color="EFEFEF" w:sz="6" w:space="0"/>
              <w:left w:val="outset" w:color="EFEFEF" w:sz="6" w:space="0"/>
              <w:bottom w:val="outset" w:color="EFEFEF" w:sz="6" w:space="0"/>
              <w:right w:val="outset" w:color="EFEFEF" w:sz="6" w:space="0"/>
            </w:tcBorders>
            <w:shd w:val="clear" w:color="auto" w:fill="F9F9F9"/>
            <w:vAlign w:val="center"/>
          </w:tcPr>
          <w:p>
            <w:pPr>
              <w:spacing w:line="335" w:lineRule="atLeast"/>
              <w:jc w:val="center"/>
              <w:rPr>
                <w:rFonts w:ascii="Arial" w:hAnsi="Arial" w:cs="Arial"/>
                <w:sz w:val="20"/>
                <w:szCs w:val="20"/>
              </w:rPr>
            </w:pPr>
            <w:r>
              <w:rPr>
                <w:rFonts w:ascii="Arial" w:hAnsi="Arial" w:cs="Arial"/>
                <w:sz w:val="20"/>
                <w:szCs w:val="20"/>
              </w:rPr>
              <w:t>课程名称：</w:t>
            </w:r>
          </w:p>
        </w:tc>
        <w:tc>
          <w:tcPr>
            <w:tcW w:w="4138" w:type="pct"/>
            <w:tcBorders>
              <w:top w:val="outset" w:color="EFEFEF" w:sz="6" w:space="0"/>
              <w:left w:val="outset" w:color="EFEFEF" w:sz="6" w:space="0"/>
              <w:bottom w:val="outset" w:color="EFEFEF" w:sz="6" w:space="0"/>
              <w:right w:val="outset" w:color="EFEFEF" w:sz="6" w:space="0"/>
            </w:tcBorders>
            <w:vAlign w:val="center"/>
          </w:tcPr>
          <w:p>
            <w:pPr>
              <w:pStyle w:val="2"/>
              <w:rPr>
                <w:color w:val="0000FF"/>
              </w:rPr>
            </w:pPr>
            <w:bookmarkStart w:id="0" w:name="_Toc351898854"/>
            <w:bookmarkStart w:id="1" w:name="_Toc351897958"/>
            <w:bookmarkStart w:id="2" w:name="_Toc351898936"/>
            <w:bookmarkStart w:id="3" w:name="_Toc511919785"/>
            <w:r>
              <w:rPr>
                <w:rFonts w:hint="eastAsia" w:ascii="宋体" w:hAnsi="宋体"/>
                <w:color w:val="0000FF"/>
              </w:rPr>
              <w:t>涉外实用商务礼仪</w:t>
            </w:r>
            <w:bookmarkEnd w:id="0"/>
            <w:bookmarkEnd w:id="1"/>
            <w:bookmarkEnd w:id="2"/>
            <w:bookmarkEnd w:id="3"/>
            <w:r>
              <w:rPr>
                <w:rFonts w:hint="eastAsia" w:ascii="宋体" w:hAnsi="宋体"/>
                <w:color w:val="0000FF"/>
              </w:rPr>
              <w:t xml:space="preserve"> </w:t>
            </w:r>
          </w:p>
        </w:tc>
      </w:tr>
      <w:tr>
        <w:tblPrEx>
          <w:tblBorders>
            <w:top w:val="outset" w:color="EFEFEF" w:sz="6" w:space="0"/>
            <w:left w:val="outset" w:color="EFEFEF" w:sz="6" w:space="0"/>
            <w:bottom w:val="outset" w:color="EFEFEF" w:sz="6" w:space="0"/>
            <w:right w:val="outset" w:color="EFEFEF" w:sz="6" w:space="0"/>
            <w:insideH w:val="none" w:color="auto" w:sz="0" w:space="0"/>
            <w:insideV w:val="none" w:color="auto" w:sz="0" w:space="0"/>
          </w:tblBorders>
          <w:tblCellMar>
            <w:top w:w="15" w:type="dxa"/>
            <w:left w:w="15" w:type="dxa"/>
            <w:bottom w:w="15" w:type="dxa"/>
            <w:right w:w="15" w:type="dxa"/>
          </w:tblCellMar>
        </w:tblPrEx>
        <w:trPr>
          <w:tblCellSpacing w:w="7" w:type="dxa"/>
          <w:jc w:val="center"/>
        </w:trPr>
        <w:tc>
          <w:tcPr>
            <w:tcW w:w="838" w:type="pct"/>
            <w:tcBorders>
              <w:top w:val="outset" w:color="EFEFEF" w:sz="6" w:space="0"/>
              <w:left w:val="outset" w:color="EFEFEF" w:sz="6" w:space="0"/>
              <w:bottom w:val="outset" w:color="EFEFEF" w:sz="6" w:space="0"/>
              <w:right w:val="outset" w:color="EFEFEF" w:sz="6" w:space="0"/>
            </w:tcBorders>
            <w:shd w:val="clear" w:color="auto" w:fill="F9F9F9"/>
          </w:tcPr>
          <w:p>
            <w:pPr>
              <w:spacing w:line="335" w:lineRule="atLeast"/>
              <w:jc w:val="center"/>
              <w:rPr>
                <w:rFonts w:ascii="Arial" w:hAnsi="Arial" w:cs="Arial"/>
                <w:sz w:val="20"/>
                <w:szCs w:val="20"/>
              </w:rPr>
            </w:pPr>
            <w:r>
              <w:rPr>
                <w:rFonts w:ascii="Arial" w:hAnsi="Arial" w:cs="Arial"/>
                <w:sz w:val="20"/>
                <w:szCs w:val="20"/>
              </w:rPr>
              <w:t>培训对象：</w:t>
            </w:r>
          </w:p>
        </w:tc>
        <w:tc>
          <w:tcPr>
            <w:tcW w:w="4138" w:type="pct"/>
            <w:tcBorders>
              <w:top w:val="outset" w:color="EFEFEF" w:sz="6" w:space="0"/>
              <w:left w:val="outset" w:color="EFEFEF" w:sz="6" w:space="0"/>
              <w:bottom w:val="outset" w:color="EFEFEF" w:sz="6" w:space="0"/>
              <w:right w:val="outset" w:color="EFEFEF" w:sz="6" w:space="0"/>
            </w:tcBorders>
            <w:vAlign w:val="center"/>
          </w:tcPr>
          <w:p>
            <w:pPr>
              <w:wordWrap w:val="0"/>
              <w:spacing w:line="335" w:lineRule="atLeast"/>
              <w:rPr>
                <w:rFonts w:ascii="Arial" w:hAnsi="Arial" w:cs="Arial"/>
                <w:sz w:val="20"/>
                <w:szCs w:val="20"/>
              </w:rPr>
            </w:pPr>
            <w:r>
              <w:rPr>
                <w:rFonts w:hint="eastAsia" w:ascii="Arial" w:hAnsi="Arial" w:cs="Arial"/>
                <w:sz w:val="20"/>
                <w:szCs w:val="20"/>
              </w:rPr>
              <w:t>面对需经常与外商打交道的高层经理及公司的骨干团队</w:t>
            </w:r>
          </w:p>
        </w:tc>
      </w:tr>
      <w:tr>
        <w:tblPrEx>
          <w:tblBorders>
            <w:top w:val="outset" w:color="EFEFEF" w:sz="6" w:space="0"/>
            <w:left w:val="outset" w:color="EFEFEF" w:sz="6" w:space="0"/>
            <w:bottom w:val="outset" w:color="EFEFEF" w:sz="6" w:space="0"/>
            <w:right w:val="outset" w:color="EFEFEF" w:sz="6" w:space="0"/>
            <w:insideH w:val="none" w:color="auto" w:sz="0" w:space="0"/>
            <w:insideV w:val="none" w:color="auto" w:sz="0" w:space="0"/>
          </w:tblBorders>
          <w:tblCellMar>
            <w:top w:w="15" w:type="dxa"/>
            <w:left w:w="15" w:type="dxa"/>
            <w:bottom w:w="15" w:type="dxa"/>
            <w:right w:w="15" w:type="dxa"/>
          </w:tblCellMar>
        </w:tblPrEx>
        <w:trPr>
          <w:tblCellSpacing w:w="7" w:type="dxa"/>
          <w:jc w:val="center"/>
        </w:trPr>
        <w:tc>
          <w:tcPr>
            <w:tcW w:w="838" w:type="pct"/>
            <w:tcBorders>
              <w:top w:val="outset" w:color="EFEFEF" w:sz="6" w:space="0"/>
              <w:left w:val="outset" w:color="EFEFEF" w:sz="6" w:space="0"/>
              <w:bottom w:val="outset" w:color="EFEFEF" w:sz="6" w:space="0"/>
              <w:right w:val="outset" w:color="EFEFEF" w:sz="6" w:space="0"/>
            </w:tcBorders>
            <w:shd w:val="clear" w:color="auto" w:fill="F9F9F9"/>
          </w:tcPr>
          <w:p>
            <w:pPr>
              <w:spacing w:line="335" w:lineRule="atLeast"/>
              <w:jc w:val="center"/>
              <w:rPr>
                <w:rFonts w:ascii="Arial" w:hAnsi="Arial" w:cs="Arial"/>
                <w:sz w:val="20"/>
                <w:szCs w:val="20"/>
              </w:rPr>
            </w:pPr>
            <w:r>
              <w:rPr>
                <w:rFonts w:ascii="Arial" w:hAnsi="Arial" w:cs="Arial"/>
                <w:sz w:val="20"/>
                <w:szCs w:val="20"/>
              </w:rPr>
              <w:t>课程目标：</w:t>
            </w:r>
          </w:p>
        </w:tc>
        <w:tc>
          <w:tcPr>
            <w:tcW w:w="4138" w:type="pct"/>
            <w:tcBorders>
              <w:top w:val="outset" w:color="EFEFEF" w:sz="6" w:space="0"/>
              <w:left w:val="outset" w:color="EFEFEF" w:sz="6" w:space="0"/>
              <w:bottom w:val="outset" w:color="EFEFEF" w:sz="6" w:space="0"/>
              <w:right w:val="outset" w:color="EFEFEF" w:sz="6" w:space="0"/>
            </w:tcBorders>
            <w:vAlign w:val="center"/>
          </w:tcPr>
          <w:p>
            <w:pPr>
              <w:wordWrap w:val="0"/>
              <w:spacing w:line="335" w:lineRule="atLeast"/>
              <w:rPr>
                <w:rFonts w:ascii="Arial" w:hAnsi="Arial" w:cs="Arial"/>
                <w:sz w:val="20"/>
                <w:szCs w:val="20"/>
              </w:rPr>
            </w:pPr>
            <w:r>
              <w:rPr>
                <w:rFonts w:hint="eastAsia" w:ascii="Arial" w:hAnsi="Arial" w:cs="Arial"/>
                <w:sz w:val="20"/>
                <w:szCs w:val="20"/>
              </w:rPr>
              <w:t>在带领学员熟悉国内商务礼仪的基础上，重点讲解及练习涉外的商务礼仪。同时，根据客户是德资企业的特点，介绍一些讲师在西门子德国慕尼黑工作数年的亲身经历中体验到的德国人的交往模式。从而带给学员实用而够水准的商务礼仪技能，提升我们涉外交往人员的专业形象及工作能力。</w:t>
            </w:r>
          </w:p>
          <w:p>
            <w:pPr>
              <w:wordWrap w:val="0"/>
              <w:spacing w:line="335" w:lineRule="atLeast"/>
              <w:rPr>
                <w:rFonts w:ascii="Arial" w:hAnsi="Arial" w:cs="Arial"/>
                <w:sz w:val="20"/>
                <w:szCs w:val="20"/>
              </w:rPr>
            </w:pPr>
            <w:r>
              <w:rPr>
                <w:rFonts w:hint="eastAsia" w:ascii="Arial" w:hAnsi="Arial" w:cs="Arial"/>
                <w:sz w:val="20"/>
                <w:szCs w:val="20"/>
              </w:rPr>
              <w:t>培训中还会增加一些对其他西方国家文化的了解，如法国人的浪漫（散漫）、英国人的教条、美国人的灵活、意大利的狡猾、北欧人的诚恳等等，则《涉外商务礼仪》这门课会带给学员丰富的知识，配有案例、学员练习、短片观摩，分享与示范等等。使之在对内及对外交往中表现出足够的专业、成熟和自信。</w:t>
            </w:r>
          </w:p>
          <w:p>
            <w:pPr>
              <w:wordWrap w:val="0"/>
              <w:spacing w:line="335" w:lineRule="atLeast"/>
              <w:rPr>
                <w:rFonts w:ascii="Arial" w:hAnsi="Arial" w:cs="Arial"/>
                <w:sz w:val="20"/>
                <w:szCs w:val="20"/>
              </w:rPr>
            </w:pPr>
          </w:p>
        </w:tc>
      </w:tr>
      <w:tr>
        <w:tblPrEx>
          <w:tblBorders>
            <w:top w:val="outset" w:color="EFEFEF" w:sz="6" w:space="0"/>
            <w:left w:val="outset" w:color="EFEFEF" w:sz="6" w:space="0"/>
            <w:bottom w:val="outset" w:color="EFEFEF" w:sz="6" w:space="0"/>
            <w:right w:val="outset" w:color="EFEFEF" w:sz="6" w:space="0"/>
            <w:insideH w:val="none" w:color="auto" w:sz="0" w:space="0"/>
            <w:insideV w:val="none" w:color="auto" w:sz="0" w:space="0"/>
          </w:tblBorders>
          <w:tblCellMar>
            <w:top w:w="15" w:type="dxa"/>
            <w:left w:w="15" w:type="dxa"/>
            <w:bottom w:w="15" w:type="dxa"/>
            <w:right w:w="15" w:type="dxa"/>
          </w:tblCellMar>
        </w:tblPrEx>
        <w:trPr>
          <w:tblCellSpacing w:w="7" w:type="dxa"/>
          <w:jc w:val="center"/>
        </w:trPr>
        <w:tc>
          <w:tcPr>
            <w:tcW w:w="838" w:type="pct"/>
            <w:tcBorders>
              <w:top w:val="outset" w:color="EFEFEF" w:sz="6" w:space="0"/>
              <w:left w:val="outset" w:color="EFEFEF" w:sz="6" w:space="0"/>
              <w:bottom w:val="outset" w:color="EFEFEF" w:sz="6" w:space="0"/>
              <w:right w:val="outset" w:color="EFEFEF" w:sz="6" w:space="0"/>
            </w:tcBorders>
            <w:shd w:val="clear" w:color="auto" w:fill="F9F9F9"/>
          </w:tcPr>
          <w:p>
            <w:pPr>
              <w:spacing w:line="335" w:lineRule="atLeast"/>
              <w:jc w:val="center"/>
              <w:rPr>
                <w:rFonts w:ascii="Arial" w:hAnsi="Arial" w:cs="Arial"/>
                <w:sz w:val="20"/>
                <w:szCs w:val="20"/>
              </w:rPr>
            </w:pPr>
            <w:r>
              <w:rPr>
                <w:rFonts w:ascii="Arial" w:hAnsi="Arial" w:cs="Arial"/>
                <w:sz w:val="20"/>
                <w:szCs w:val="20"/>
              </w:rPr>
              <w:t>课程</w:t>
            </w:r>
            <w:r>
              <w:rPr>
                <w:rFonts w:hint="eastAsia" w:ascii="Arial" w:hAnsi="Arial" w:cs="Arial"/>
                <w:sz w:val="20"/>
                <w:szCs w:val="20"/>
              </w:rPr>
              <w:t>时间：</w:t>
            </w:r>
          </w:p>
        </w:tc>
        <w:tc>
          <w:tcPr>
            <w:tcW w:w="4138" w:type="pct"/>
            <w:tcBorders>
              <w:top w:val="outset" w:color="EFEFEF" w:sz="6" w:space="0"/>
              <w:left w:val="outset" w:color="EFEFEF" w:sz="6" w:space="0"/>
              <w:bottom w:val="outset" w:color="EFEFEF" w:sz="6" w:space="0"/>
              <w:right w:val="outset" w:color="EFEFEF" w:sz="6" w:space="0"/>
            </w:tcBorders>
            <w:vAlign w:val="center"/>
          </w:tcPr>
          <w:p>
            <w:pPr>
              <w:wordWrap w:val="0"/>
              <w:spacing w:line="335" w:lineRule="atLeast"/>
              <w:rPr>
                <w:rFonts w:ascii="Arial" w:hAnsi="Arial" w:cs="Arial"/>
                <w:sz w:val="20"/>
                <w:szCs w:val="20"/>
              </w:rPr>
            </w:pPr>
            <w:r>
              <w:rPr>
                <w:rFonts w:hint="eastAsia" w:ascii="Arial" w:hAnsi="Arial" w:cs="Arial"/>
                <w:sz w:val="20"/>
                <w:szCs w:val="20"/>
              </w:rPr>
              <w:t xml:space="preserve">    一天 (9 am ~ 5 pm) </w:t>
            </w:r>
          </w:p>
        </w:tc>
      </w:tr>
      <w:tr>
        <w:tblPrEx>
          <w:tblBorders>
            <w:top w:val="outset" w:color="EFEFEF" w:sz="6" w:space="0"/>
            <w:left w:val="outset" w:color="EFEFEF" w:sz="6" w:space="0"/>
            <w:bottom w:val="outset" w:color="EFEFEF" w:sz="6" w:space="0"/>
            <w:right w:val="outset" w:color="EFEFEF" w:sz="6" w:space="0"/>
            <w:insideH w:val="none" w:color="auto" w:sz="0" w:space="0"/>
            <w:insideV w:val="none" w:color="auto" w:sz="0" w:space="0"/>
          </w:tblBorders>
          <w:tblCellMar>
            <w:top w:w="15" w:type="dxa"/>
            <w:left w:w="15" w:type="dxa"/>
            <w:bottom w:w="15" w:type="dxa"/>
            <w:right w:w="15" w:type="dxa"/>
          </w:tblCellMar>
        </w:tblPrEx>
        <w:trPr>
          <w:tblCellSpacing w:w="7" w:type="dxa"/>
          <w:jc w:val="center"/>
        </w:trPr>
        <w:tc>
          <w:tcPr>
            <w:tcW w:w="838" w:type="pct"/>
            <w:tcBorders>
              <w:top w:val="outset" w:color="EFEFEF" w:sz="6" w:space="0"/>
              <w:left w:val="outset" w:color="EFEFEF" w:sz="6" w:space="0"/>
              <w:bottom w:val="outset" w:color="EFEFEF" w:sz="6" w:space="0"/>
              <w:right w:val="outset" w:color="EFEFEF" w:sz="6" w:space="0"/>
            </w:tcBorders>
            <w:shd w:val="clear" w:color="auto" w:fill="F9F9F9"/>
          </w:tcPr>
          <w:p>
            <w:pPr>
              <w:spacing w:line="335" w:lineRule="atLeast"/>
              <w:jc w:val="center"/>
              <w:rPr>
                <w:rFonts w:ascii="Arial" w:hAnsi="Arial" w:cs="Arial"/>
                <w:sz w:val="20"/>
                <w:szCs w:val="20"/>
              </w:rPr>
            </w:pPr>
            <w:r>
              <w:rPr>
                <w:rFonts w:ascii="Arial" w:hAnsi="Arial" w:cs="Arial"/>
                <w:sz w:val="20"/>
                <w:szCs w:val="20"/>
              </w:rPr>
              <w:t>课程大纲：</w:t>
            </w:r>
          </w:p>
        </w:tc>
        <w:tc>
          <w:tcPr>
            <w:tcW w:w="4138" w:type="pct"/>
            <w:tcBorders>
              <w:top w:val="outset" w:color="EFEFEF" w:sz="6" w:space="0"/>
              <w:left w:val="outset" w:color="EFEFEF" w:sz="6" w:space="0"/>
              <w:bottom w:val="outset" w:color="EFEFEF" w:sz="6" w:space="0"/>
              <w:right w:val="outset" w:color="EFEFEF" w:sz="6" w:space="0"/>
            </w:tcBorders>
            <w:vAlign w:val="center"/>
          </w:tcPr>
          <w:p>
            <w:pPr>
              <w:wordWrap w:val="0"/>
              <w:spacing w:line="335" w:lineRule="atLeast"/>
              <w:rPr>
                <w:rFonts w:ascii="Arial" w:hAnsi="Arial" w:cs="Arial"/>
                <w:sz w:val="20"/>
                <w:szCs w:val="20"/>
              </w:rPr>
            </w:pPr>
            <w:r>
              <w:rPr>
                <w:rFonts w:hint="eastAsia" w:ascii="Arial" w:hAnsi="Arial" w:cs="Arial"/>
                <w:sz w:val="20"/>
                <w:szCs w:val="20"/>
              </w:rPr>
              <w:t xml:space="preserve">上午: </w:t>
            </w:r>
          </w:p>
          <w:p>
            <w:pPr>
              <w:wordWrap w:val="0"/>
              <w:spacing w:line="335" w:lineRule="atLeast"/>
              <w:rPr>
                <w:rFonts w:ascii="Arial" w:hAnsi="Arial" w:cs="Arial"/>
                <w:sz w:val="20"/>
                <w:szCs w:val="20"/>
              </w:rPr>
            </w:pPr>
            <w:r>
              <w:rPr>
                <w:rFonts w:hint="eastAsia" w:ascii="Arial" w:hAnsi="Arial" w:cs="Arial"/>
                <w:sz w:val="20"/>
                <w:szCs w:val="20"/>
              </w:rPr>
              <w:t>从思维方式掌握商务礼仪：严谨、自律、专业是德国人的特点，可以说掌握了德国人的思维方式也就基本上掌握了西方国家传统的商务思维方式。</w:t>
            </w:r>
          </w:p>
          <w:p>
            <w:pPr>
              <w:numPr>
                <w:ilvl w:val="0"/>
                <w:numId w:val="1"/>
              </w:numPr>
              <w:wordWrap w:val="0"/>
              <w:spacing w:line="335" w:lineRule="atLeast"/>
              <w:rPr>
                <w:rFonts w:ascii="Arial" w:hAnsi="Arial" w:cs="Arial"/>
                <w:sz w:val="20"/>
                <w:szCs w:val="20"/>
              </w:rPr>
            </w:pPr>
            <w:r>
              <w:rPr>
                <w:rFonts w:hint="eastAsia" w:ascii="Arial" w:hAnsi="Arial" w:cs="Arial"/>
                <w:sz w:val="20"/>
                <w:szCs w:val="20"/>
              </w:rPr>
              <w:t>全天商务礼仪培训内容介绍</w:t>
            </w:r>
          </w:p>
          <w:p>
            <w:pPr>
              <w:numPr>
                <w:ilvl w:val="0"/>
                <w:numId w:val="2"/>
              </w:numPr>
              <w:wordWrap w:val="0"/>
              <w:spacing w:line="335" w:lineRule="atLeast"/>
              <w:rPr>
                <w:rFonts w:ascii="Arial" w:hAnsi="Arial" w:cs="Arial"/>
                <w:sz w:val="20"/>
                <w:szCs w:val="20"/>
              </w:rPr>
            </w:pPr>
            <w:r>
              <w:rPr>
                <w:rFonts w:hint="eastAsia" w:ascii="Arial" w:hAnsi="Arial" w:cs="Arial"/>
                <w:sz w:val="20"/>
                <w:szCs w:val="20"/>
              </w:rPr>
              <w:t>思维决定行为：</w:t>
            </w:r>
          </w:p>
          <w:p>
            <w:pPr>
              <w:numPr>
                <w:ilvl w:val="1"/>
                <w:numId w:val="2"/>
              </w:numPr>
              <w:wordWrap w:val="0"/>
              <w:spacing w:line="335" w:lineRule="atLeast"/>
              <w:rPr>
                <w:rFonts w:ascii="Arial" w:hAnsi="Arial" w:cs="Arial"/>
                <w:sz w:val="20"/>
                <w:szCs w:val="20"/>
              </w:rPr>
            </w:pPr>
            <w:r>
              <w:rPr>
                <w:rFonts w:hint="eastAsia" w:ascii="Arial" w:hAnsi="Arial" w:cs="Arial"/>
                <w:sz w:val="20"/>
                <w:szCs w:val="20"/>
              </w:rPr>
              <w:t>东西方的商务思维差异</w:t>
            </w:r>
          </w:p>
          <w:p>
            <w:pPr>
              <w:numPr>
                <w:ilvl w:val="2"/>
                <w:numId w:val="2"/>
              </w:numPr>
              <w:wordWrap w:val="0"/>
              <w:spacing w:line="335" w:lineRule="atLeast"/>
              <w:rPr>
                <w:rFonts w:ascii="Arial" w:hAnsi="Arial" w:cs="Arial"/>
                <w:sz w:val="20"/>
                <w:szCs w:val="20"/>
              </w:rPr>
            </w:pPr>
            <w:r>
              <w:rPr>
                <w:rFonts w:hint="eastAsia" w:ascii="Arial" w:hAnsi="Arial" w:cs="Arial"/>
                <w:sz w:val="20"/>
                <w:szCs w:val="20"/>
              </w:rPr>
              <w:t xml:space="preserve">东方的思维方式 </w:t>
            </w:r>
            <w:r>
              <w:rPr>
                <w:rFonts w:ascii="Arial" w:hAnsi="Arial" w:cs="Arial"/>
                <w:sz w:val="20"/>
                <w:szCs w:val="20"/>
              </w:rPr>
              <w:t>–</w:t>
            </w:r>
            <w:r>
              <w:rPr>
                <w:rFonts w:hint="eastAsia" w:ascii="Arial" w:hAnsi="Arial" w:cs="Arial"/>
                <w:sz w:val="20"/>
                <w:szCs w:val="20"/>
              </w:rPr>
              <w:t xml:space="preserve"> 先朋友后商务，举例 。。。</w:t>
            </w:r>
          </w:p>
          <w:p>
            <w:pPr>
              <w:numPr>
                <w:ilvl w:val="2"/>
                <w:numId w:val="2"/>
              </w:numPr>
              <w:wordWrap w:val="0"/>
              <w:spacing w:line="335" w:lineRule="atLeast"/>
              <w:rPr>
                <w:rFonts w:ascii="Arial" w:hAnsi="Arial" w:cs="Arial"/>
                <w:sz w:val="20"/>
                <w:szCs w:val="20"/>
              </w:rPr>
            </w:pPr>
            <w:r>
              <w:rPr>
                <w:rFonts w:hint="eastAsia" w:ascii="Arial" w:hAnsi="Arial" w:cs="Arial"/>
                <w:sz w:val="20"/>
                <w:szCs w:val="20"/>
              </w:rPr>
              <w:t xml:space="preserve">西方的思维方式 </w:t>
            </w:r>
            <w:r>
              <w:rPr>
                <w:rFonts w:ascii="Arial" w:hAnsi="Arial" w:cs="Arial"/>
                <w:sz w:val="20"/>
                <w:szCs w:val="20"/>
              </w:rPr>
              <w:t>–</w:t>
            </w:r>
            <w:r>
              <w:rPr>
                <w:rFonts w:hint="eastAsia" w:ascii="Arial" w:hAnsi="Arial" w:cs="Arial"/>
                <w:sz w:val="20"/>
                <w:szCs w:val="20"/>
              </w:rPr>
              <w:t xml:space="preserve"> 先商务后朋友，举例 。。。</w:t>
            </w:r>
          </w:p>
          <w:p>
            <w:pPr>
              <w:numPr>
                <w:ilvl w:val="1"/>
                <w:numId w:val="2"/>
              </w:numPr>
              <w:wordWrap w:val="0"/>
              <w:spacing w:line="335" w:lineRule="atLeast"/>
              <w:rPr>
                <w:rFonts w:ascii="Arial" w:hAnsi="Arial" w:cs="Arial"/>
                <w:sz w:val="20"/>
                <w:szCs w:val="20"/>
              </w:rPr>
            </w:pPr>
            <w:r>
              <w:rPr>
                <w:rFonts w:hint="eastAsia" w:ascii="Arial" w:hAnsi="Arial" w:cs="Arial"/>
                <w:sz w:val="20"/>
                <w:szCs w:val="20"/>
              </w:rPr>
              <w:t>案例：早期中国代表团赴德商务谈判的尴尬与行程表的重要</w:t>
            </w:r>
          </w:p>
          <w:p>
            <w:pPr>
              <w:numPr>
                <w:ilvl w:val="1"/>
                <w:numId w:val="2"/>
              </w:numPr>
              <w:wordWrap w:val="0"/>
              <w:spacing w:line="335" w:lineRule="atLeast"/>
              <w:rPr>
                <w:rFonts w:ascii="Arial" w:hAnsi="Arial" w:cs="Arial"/>
                <w:sz w:val="20"/>
                <w:szCs w:val="20"/>
              </w:rPr>
            </w:pPr>
            <w:r>
              <w:rPr>
                <w:rFonts w:hint="eastAsia" w:ascii="Arial" w:hAnsi="Arial" w:cs="Arial"/>
                <w:sz w:val="20"/>
                <w:szCs w:val="20"/>
              </w:rPr>
              <w:t>西方各国思维方式举例（英、法、美、欧，。。。）</w:t>
            </w:r>
          </w:p>
          <w:p>
            <w:pPr>
              <w:numPr>
                <w:ilvl w:val="0"/>
                <w:numId w:val="2"/>
              </w:numPr>
              <w:wordWrap w:val="0"/>
              <w:spacing w:line="335" w:lineRule="atLeast"/>
              <w:rPr>
                <w:rFonts w:ascii="Arial" w:hAnsi="Arial" w:cs="Arial"/>
                <w:sz w:val="20"/>
                <w:szCs w:val="20"/>
              </w:rPr>
            </w:pPr>
            <w:r>
              <w:rPr>
                <w:rFonts w:hint="eastAsia" w:ascii="Arial" w:hAnsi="Arial" w:cs="Arial"/>
                <w:sz w:val="20"/>
                <w:szCs w:val="20"/>
              </w:rPr>
              <w:t>建立职业第一印象的着装</w:t>
            </w:r>
          </w:p>
          <w:p>
            <w:pPr>
              <w:numPr>
                <w:ilvl w:val="1"/>
                <w:numId w:val="2"/>
              </w:numPr>
              <w:wordWrap w:val="0"/>
              <w:spacing w:line="335" w:lineRule="atLeast"/>
              <w:rPr>
                <w:rFonts w:ascii="Arial" w:hAnsi="Arial" w:cs="Arial"/>
                <w:sz w:val="20"/>
                <w:szCs w:val="20"/>
              </w:rPr>
            </w:pPr>
            <w:r>
              <w:rPr>
                <w:rFonts w:hint="eastAsia" w:ascii="Arial" w:hAnsi="Arial" w:cs="Arial"/>
                <w:sz w:val="20"/>
                <w:szCs w:val="20"/>
              </w:rPr>
              <w:t>男士的着装 (衣服的材料，式样，色彩，上下的搭配)</w:t>
            </w:r>
          </w:p>
          <w:p>
            <w:pPr>
              <w:numPr>
                <w:ilvl w:val="1"/>
                <w:numId w:val="2"/>
              </w:numPr>
              <w:wordWrap w:val="0"/>
              <w:spacing w:line="335" w:lineRule="atLeast"/>
              <w:rPr>
                <w:rFonts w:ascii="Arial" w:hAnsi="Arial" w:cs="Arial"/>
                <w:sz w:val="20"/>
                <w:szCs w:val="20"/>
              </w:rPr>
            </w:pPr>
            <w:r>
              <w:rPr>
                <w:rFonts w:hint="eastAsia" w:ascii="Arial" w:hAnsi="Arial" w:cs="Arial"/>
                <w:sz w:val="20"/>
                <w:szCs w:val="20"/>
              </w:rPr>
              <w:t>女士的着装 (衣服的材料，式样，色彩，配件，上下的搭配)</w:t>
            </w:r>
          </w:p>
          <w:p>
            <w:pPr>
              <w:numPr>
                <w:ilvl w:val="1"/>
                <w:numId w:val="2"/>
              </w:numPr>
              <w:wordWrap w:val="0"/>
              <w:spacing w:line="335" w:lineRule="atLeast"/>
              <w:rPr>
                <w:rFonts w:ascii="Arial" w:hAnsi="Arial" w:cs="Arial"/>
                <w:sz w:val="20"/>
                <w:szCs w:val="20"/>
              </w:rPr>
            </w:pPr>
            <w:r>
              <w:rPr>
                <w:rFonts w:hint="eastAsia" w:ascii="Arial" w:hAnsi="Arial" w:cs="Arial"/>
                <w:sz w:val="20"/>
                <w:szCs w:val="20"/>
              </w:rPr>
              <w:t>着装的TOP原则 - 商务、休闲、装饰、化妆、季节的变通</w:t>
            </w:r>
          </w:p>
          <w:p>
            <w:pPr>
              <w:numPr>
                <w:ilvl w:val="1"/>
                <w:numId w:val="2"/>
              </w:numPr>
              <w:wordWrap w:val="0"/>
              <w:spacing w:line="335" w:lineRule="atLeast"/>
              <w:rPr>
                <w:rFonts w:ascii="Arial" w:hAnsi="Arial" w:cs="Arial"/>
                <w:sz w:val="20"/>
                <w:szCs w:val="20"/>
              </w:rPr>
            </w:pPr>
            <w:r>
              <w:rPr>
                <w:rFonts w:hint="eastAsia" w:ascii="Arial" w:hAnsi="Arial" w:cs="Arial"/>
                <w:sz w:val="20"/>
                <w:szCs w:val="20"/>
              </w:rPr>
              <w:t>中国人常出现的着装问题</w:t>
            </w:r>
          </w:p>
          <w:p>
            <w:pPr>
              <w:numPr>
                <w:ilvl w:val="0"/>
                <w:numId w:val="2"/>
              </w:numPr>
              <w:wordWrap w:val="0"/>
              <w:spacing w:line="335" w:lineRule="atLeast"/>
              <w:rPr>
                <w:rFonts w:ascii="Arial" w:hAnsi="Arial" w:cs="Arial"/>
                <w:sz w:val="20"/>
                <w:szCs w:val="20"/>
              </w:rPr>
            </w:pPr>
            <w:r>
              <w:rPr>
                <w:rFonts w:hint="eastAsia" w:ascii="Arial" w:hAnsi="Arial" w:cs="Arial"/>
                <w:sz w:val="20"/>
                <w:szCs w:val="20"/>
              </w:rPr>
              <w:t>握手的方式和名片的交换（加练习）</w:t>
            </w:r>
          </w:p>
          <w:p>
            <w:pPr>
              <w:numPr>
                <w:ilvl w:val="1"/>
                <w:numId w:val="2"/>
              </w:numPr>
              <w:wordWrap w:val="0"/>
              <w:spacing w:line="335" w:lineRule="atLeast"/>
              <w:rPr>
                <w:rFonts w:ascii="Arial" w:hAnsi="Arial" w:cs="Arial"/>
                <w:sz w:val="20"/>
                <w:szCs w:val="20"/>
              </w:rPr>
            </w:pPr>
            <w:r>
              <w:rPr>
                <w:rFonts w:hint="eastAsia" w:ascii="Arial" w:hAnsi="Arial" w:cs="Arial"/>
                <w:sz w:val="20"/>
                <w:szCs w:val="20"/>
              </w:rPr>
              <w:t>如何握手（女士要特别注意的）</w:t>
            </w:r>
          </w:p>
          <w:p>
            <w:pPr>
              <w:numPr>
                <w:ilvl w:val="1"/>
                <w:numId w:val="2"/>
              </w:numPr>
              <w:wordWrap w:val="0"/>
              <w:spacing w:line="335" w:lineRule="atLeast"/>
              <w:rPr>
                <w:rFonts w:ascii="Arial" w:hAnsi="Arial" w:cs="Arial"/>
                <w:sz w:val="20"/>
                <w:szCs w:val="20"/>
              </w:rPr>
            </w:pPr>
            <w:r>
              <w:rPr>
                <w:rFonts w:hint="eastAsia" w:ascii="Arial" w:hAnsi="Arial" w:cs="Arial"/>
                <w:sz w:val="20"/>
                <w:szCs w:val="20"/>
              </w:rPr>
              <w:t>交换名片时的目光</w:t>
            </w:r>
          </w:p>
          <w:p>
            <w:pPr>
              <w:numPr>
                <w:ilvl w:val="1"/>
                <w:numId w:val="2"/>
              </w:numPr>
              <w:wordWrap w:val="0"/>
              <w:spacing w:line="335" w:lineRule="atLeast"/>
              <w:rPr>
                <w:rFonts w:ascii="Arial" w:hAnsi="Arial" w:cs="Arial"/>
                <w:sz w:val="20"/>
                <w:szCs w:val="20"/>
              </w:rPr>
            </w:pPr>
            <w:r>
              <w:rPr>
                <w:rFonts w:hint="eastAsia" w:ascii="Arial" w:hAnsi="Arial" w:cs="Arial"/>
                <w:sz w:val="20"/>
                <w:szCs w:val="20"/>
              </w:rPr>
              <w:t>相互介绍过程中先后次序的礼仪</w:t>
            </w:r>
          </w:p>
          <w:p>
            <w:pPr>
              <w:numPr>
                <w:ilvl w:val="1"/>
                <w:numId w:val="2"/>
              </w:numPr>
              <w:wordWrap w:val="0"/>
              <w:spacing w:line="335" w:lineRule="atLeast"/>
              <w:rPr>
                <w:rFonts w:ascii="Arial" w:hAnsi="Arial" w:cs="Arial"/>
                <w:sz w:val="20"/>
                <w:szCs w:val="20"/>
              </w:rPr>
            </w:pPr>
            <w:r>
              <w:rPr>
                <w:rFonts w:hint="eastAsia" w:ascii="Arial" w:hAnsi="Arial" w:cs="Arial"/>
                <w:sz w:val="20"/>
                <w:szCs w:val="20"/>
              </w:rPr>
              <w:t>为什么要读一下对方的名片？</w:t>
            </w:r>
          </w:p>
          <w:p>
            <w:pPr>
              <w:numPr>
                <w:ilvl w:val="1"/>
                <w:numId w:val="2"/>
              </w:numPr>
              <w:wordWrap w:val="0"/>
              <w:spacing w:line="335" w:lineRule="atLeast"/>
              <w:rPr>
                <w:rFonts w:ascii="Arial" w:hAnsi="Arial" w:cs="Arial"/>
                <w:sz w:val="20"/>
                <w:szCs w:val="20"/>
              </w:rPr>
            </w:pPr>
            <w:r>
              <w:rPr>
                <w:rFonts w:hint="eastAsia" w:ascii="Arial" w:hAnsi="Arial" w:cs="Arial"/>
                <w:sz w:val="20"/>
                <w:szCs w:val="20"/>
              </w:rPr>
              <w:t>会谈时名片的摆放</w:t>
            </w:r>
          </w:p>
          <w:p>
            <w:pPr>
              <w:numPr>
                <w:ilvl w:val="1"/>
                <w:numId w:val="2"/>
              </w:numPr>
              <w:wordWrap w:val="0"/>
              <w:spacing w:line="335" w:lineRule="atLeast"/>
              <w:rPr>
                <w:rFonts w:ascii="Arial" w:hAnsi="Arial" w:cs="Arial"/>
                <w:sz w:val="20"/>
                <w:szCs w:val="20"/>
              </w:rPr>
            </w:pPr>
            <w:r>
              <w:rPr>
                <w:rFonts w:hint="eastAsia" w:ascii="Arial" w:hAnsi="Arial" w:cs="Arial"/>
                <w:sz w:val="20"/>
                <w:szCs w:val="20"/>
              </w:rPr>
              <w:t>索取名片的技巧 （</w:t>
            </w:r>
            <w:r>
              <w:rPr>
                <w:rFonts w:hint="eastAsia" w:ascii="Arial" w:hAnsi="Arial" w:cs="Arial"/>
                <w:color w:val="FF0000"/>
                <w:sz w:val="20"/>
                <w:szCs w:val="20"/>
              </w:rPr>
              <w:t>加学员练习</w:t>
            </w:r>
            <w:r>
              <w:rPr>
                <w:rFonts w:hint="eastAsia" w:ascii="Arial" w:hAnsi="Arial" w:cs="Arial"/>
                <w:sz w:val="20"/>
                <w:szCs w:val="20"/>
              </w:rPr>
              <w:t>）</w:t>
            </w:r>
          </w:p>
          <w:p>
            <w:pPr>
              <w:wordWrap w:val="0"/>
              <w:spacing w:line="335" w:lineRule="atLeast"/>
              <w:rPr>
                <w:rFonts w:ascii="Arial" w:hAnsi="Arial" w:cs="Arial"/>
                <w:sz w:val="20"/>
                <w:szCs w:val="20"/>
              </w:rPr>
            </w:pPr>
            <w:r>
              <w:rPr>
                <w:rFonts w:hint="eastAsia" w:ascii="Arial" w:hAnsi="Arial" w:cs="Arial"/>
                <w:sz w:val="20"/>
                <w:szCs w:val="20"/>
              </w:rPr>
              <w:t>下午：</w:t>
            </w:r>
          </w:p>
          <w:p>
            <w:pPr>
              <w:numPr>
                <w:ilvl w:val="0"/>
                <w:numId w:val="2"/>
              </w:numPr>
              <w:wordWrap w:val="0"/>
              <w:spacing w:line="335" w:lineRule="atLeast"/>
              <w:rPr>
                <w:rFonts w:ascii="Arial" w:hAnsi="Arial" w:cs="Arial"/>
                <w:sz w:val="20"/>
                <w:szCs w:val="20"/>
              </w:rPr>
            </w:pPr>
            <w:r>
              <w:rPr>
                <w:rFonts w:hint="eastAsia" w:ascii="Arial" w:hAnsi="Arial" w:cs="Arial"/>
                <w:sz w:val="20"/>
                <w:szCs w:val="20"/>
              </w:rPr>
              <w:t>经商的礼仪与沟通方式</w:t>
            </w:r>
          </w:p>
          <w:p>
            <w:pPr>
              <w:numPr>
                <w:ilvl w:val="1"/>
                <w:numId w:val="2"/>
              </w:numPr>
              <w:wordWrap w:val="0"/>
              <w:spacing w:line="335" w:lineRule="atLeast"/>
              <w:rPr>
                <w:rFonts w:ascii="Arial" w:hAnsi="Arial" w:cs="Arial"/>
                <w:sz w:val="20"/>
                <w:szCs w:val="20"/>
              </w:rPr>
            </w:pPr>
            <w:r>
              <w:rPr>
                <w:rFonts w:hint="eastAsia" w:ascii="Arial" w:hAnsi="Arial" w:cs="Arial"/>
                <w:sz w:val="20"/>
                <w:szCs w:val="20"/>
              </w:rPr>
              <w:t>人际需求与商务需求的关系模式与处理方式</w:t>
            </w:r>
          </w:p>
          <w:p>
            <w:pPr>
              <w:numPr>
                <w:ilvl w:val="1"/>
                <w:numId w:val="2"/>
              </w:numPr>
              <w:wordWrap w:val="0"/>
              <w:spacing w:line="335" w:lineRule="atLeast"/>
              <w:rPr>
                <w:rFonts w:ascii="Arial" w:hAnsi="Arial" w:cs="Arial"/>
                <w:sz w:val="20"/>
                <w:szCs w:val="20"/>
              </w:rPr>
            </w:pPr>
            <w:r>
              <w:rPr>
                <w:rFonts w:hint="eastAsia" w:ascii="Arial" w:hAnsi="Arial" w:cs="Arial"/>
                <w:sz w:val="20"/>
                <w:szCs w:val="20"/>
              </w:rPr>
              <w:t>学员白板不干胶贴纸练习</w:t>
            </w:r>
          </w:p>
          <w:p>
            <w:pPr>
              <w:numPr>
                <w:ilvl w:val="1"/>
                <w:numId w:val="2"/>
              </w:numPr>
              <w:wordWrap w:val="0"/>
              <w:spacing w:line="335" w:lineRule="atLeast"/>
              <w:rPr>
                <w:rFonts w:ascii="Arial" w:hAnsi="Arial" w:cs="Arial"/>
                <w:sz w:val="20"/>
                <w:szCs w:val="20"/>
              </w:rPr>
            </w:pPr>
            <w:r>
              <w:rPr>
                <w:rFonts w:hint="eastAsia" w:ascii="Arial" w:hAnsi="Arial" w:cs="Arial"/>
                <w:sz w:val="20"/>
                <w:szCs w:val="20"/>
              </w:rPr>
              <w:t>案例一：商务交往中遇到僵局的处理方式（新加坡-马来西亚水供谈判）</w:t>
            </w:r>
          </w:p>
          <w:p>
            <w:pPr>
              <w:numPr>
                <w:ilvl w:val="0"/>
                <w:numId w:val="2"/>
              </w:numPr>
              <w:wordWrap w:val="0"/>
              <w:spacing w:line="335" w:lineRule="atLeast"/>
              <w:rPr>
                <w:rFonts w:ascii="Arial" w:hAnsi="Arial" w:cs="Arial"/>
                <w:sz w:val="20"/>
                <w:szCs w:val="20"/>
              </w:rPr>
            </w:pPr>
            <w:r>
              <w:rPr>
                <w:rFonts w:hint="eastAsia" w:ascii="Arial" w:hAnsi="Arial" w:cs="Arial"/>
                <w:sz w:val="20"/>
                <w:szCs w:val="20"/>
              </w:rPr>
              <w:t>宴请与餐桌礼仪</w:t>
            </w:r>
          </w:p>
          <w:p>
            <w:pPr>
              <w:numPr>
                <w:ilvl w:val="1"/>
                <w:numId w:val="2"/>
              </w:numPr>
              <w:wordWrap w:val="0"/>
              <w:spacing w:line="335" w:lineRule="atLeast"/>
              <w:rPr>
                <w:rFonts w:ascii="Arial" w:hAnsi="Arial" w:cs="Arial"/>
                <w:sz w:val="20"/>
                <w:szCs w:val="20"/>
              </w:rPr>
            </w:pPr>
            <w:r>
              <w:rPr>
                <w:rFonts w:hint="eastAsia" w:ascii="Arial" w:hAnsi="Arial" w:cs="Arial"/>
                <w:sz w:val="20"/>
                <w:szCs w:val="20"/>
              </w:rPr>
              <w:t>宴会上座位的安排</w:t>
            </w:r>
          </w:p>
          <w:p>
            <w:pPr>
              <w:numPr>
                <w:ilvl w:val="1"/>
                <w:numId w:val="2"/>
              </w:numPr>
              <w:wordWrap w:val="0"/>
              <w:spacing w:line="335" w:lineRule="atLeast"/>
              <w:rPr>
                <w:rFonts w:ascii="Arial" w:hAnsi="Arial" w:cs="Arial"/>
                <w:sz w:val="20"/>
                <w:szCs w:val="20"/>
              </w:rPr>
            </w:pPr>
            <w:r>
              <w:rPr>
                <w:rFonts w:hint="eastAsia" w:ascii="Arial" w:hAnsi="Arial" w:cs="Arial"/>
                <w:sz w:val="20"/>
                <w:szCs w:val="20"/>
              </w:rPr>
              <w:t>西餐点菜的学问</w:t>
            </w:r>
          </w:p>
          <w:p>
            <w:pPr>
              <w:numPr>
                <w:ilvl w:val="1"/>
                <w:numId w:val="2"/>
              </w:numPr>
              <w:wordWrap w:val="0"/>
              <w:spacing w:line="335" w:lineRule="atLeast"/>
              <w:rPr>
                <w:rFonts w:ascii="Arial" w:hAnsi="Arial" w:cs="Arial"/>
                <w:sz w:val="20"/>
                <w:szCs w:val="20"/>
              </w:rPr>
            </w:pPr>
            <w:r>
              <w:rPr>
                <w:rFonts w:hint="eastAsia" w:ascii="Arial" w:hAnsi="Arial" w:cs="Arial"/>
                <w:sz w:val="20"/>
                <w:szCs w:val="20"/>
              </w:rPr>
              <w:t>餐桌上的谈吐与禁忌</w:t>
            </w:r>
          </w:p>
          <w:p>
            <w:pPr>
              <w:numPr>
                <w:ilvl w:val="1"/>
                <w:numId w:val="2"/>
              </w:numPr>
              <w:wordWrap w:val="0"/>
              <w:spacing w:line="335" w:lineRule="atLeast"/>
              <w:rPr>
                <w:rFonts w:ascii="Arial" w:hAnsi="Arial" w:cs="Arial"/>
                <w:sz w:val="20"/>
                <w:szCs w:val="20"/>
              </w:rPr>
            </w:pPr>
            <w:r>
              <w:rPr>
                <w:rFonts w:hint="eastAsia" w:ascii="Arial" w:hAnsi="Arial" w:cs="Arial"/>
                <w:sz w:val="20"/>
                <w:szCs w:val="20"/>
              </w:rPr>
              <w:t>和德国人吃饭</w:t>
            </w:r>
          </w:p>
          <w:p>
            <w:pPr>
              <w:numPr>
                <w:ilvl w:val="1"/>
                <w:numId w:val="2"/>
              </w:numPr>
              <w:wordWrap w:val="0"/>
              <w:spacing w:line="335" w:lineRule="atLeast"/>
              <w:rPr>
                <w:rFonts w:ascii="Arial" w:hAnsi="Arial" w:cs="Arial"/>
                <w:sz w:val="20"/>
                <w:szCs w:val="20"/>
              </w:rPr>
            </w:pPr>
            <w:r>
              <w:rPr>
                <w:rFonts w:hint="eastAsia" w:ascii="Arial" w:hAnsi="Arial" w:cs="Arial"/>
                <w:sz w:val="20"/>
                <w:szCs w:val="20"/>
              </w:rPr>
              <w:t>倒酒的学问与忌讳</w:t>
            </w:r>
          </w:p>
          <w:p>
            <w:pPr>
              <w:numPr>
                <w:ilvl w:val="1"/>
                <w:numId w:val="2"/>
              </w:numPr>
              <w:wordWrap w:val="0"/>
              <w:spacing w:line="335" w:lineRule="atLeast"/>
              <w:rPr>
                <w:rFonts w:ascii="Arial" w:hAnsi="Arial" w:cs="Arial"/>
                <w:sz w:val="20"/>
                <w:szCs w:val="20"/>
              </w:rPr>
            </w:pPr>
            <w:r>
              <w:rPr>
                <w:rFonts w:hint="eastAsia" w:ascii="Arial" w:hAnsi="Arial" w:cs="Arial"/>
                <w:sz w:val="20"/>
                <w:szCs w:val="20"/>
              </w:rPr>
              <w:t>开车的座位安排</w:t>
            </w:r>
          </w:p>
          <w:p>
            <w:pPr>
              <w:numPr>
                <w:ilvl w:val="1"/>
                <w:numId w:val="2"/>
              </w:numPr>
              <w:wordWrap w:val="0"/>
              <w:spacing w:line="335" w:lineRule="atLeast"/>
              <w:rPr>
                <w:rFonts w:ascii="Arial" w:hAnsi="Arial" w:cs="Arial"/>
                <w:sz w:val="20"/>
                <w:szCs w:val="20"/>
              </w:rPr>
            </w:pPr>
            <w:r>
              <w:rPr>
                <w:rFonts w:hint="eastAsia" w:ascii="Arial" w:hAnsi="Arial" w:cs="Arial"/>
                <w:sz w:val="20"/>
                <w:szCs w:val="20"/>
              </w:rPr>
              <w:t>商务会议的座位安排</w:t>
            </w:r>
          </w:p>
          <w:p>
            <w:pPr>
              <w:numPr>
                <w:ilvl w:val="0"/>
                <w:numId w:val="2"/>
              </w:numPr>
              <w:wordWrap w:val="0"/>
              <w:spacing w:line="335" w:lineRule="atLeast"/>
              <w:rPr>
                <w:rFonts w:ascii="Arial" w:hAnsi="Arial" w:cs="Arial"/>
                <w:sz w:val="20"/>
                <w:szCs w:val="20"/>
              </w:rPr>
            </w:pPr>
            <w:r>
              <w:rPr>
                <w:rFonts w:hint="eastAsia" w:ascii="Arial" w:hAnsi="Arial" w:cs="Arial"/>
                <w:sz w:val="20"/>
                <w:szCs w:val="20"/>
              </w:rPr>
              <w:t>商务电话礼仪</w:t>
            </w:r>
          </w:p>
          <w:p>
            <w:pPr>
              <w:numPr>
                <w:ilvl w:val="1"/>
                <w:numId w:val="2"/>
              </w:numPr>
              <w:wordWrap w:val="0"/>
              <w:spacing w:line="335" w:lineRule="atLeast"/>
              <w:rPr>
                <w:rFonts w:ascii="Arial" w:hAnsi="Arial" w:cs="Arial"/>
                <w:sz w:val="20"/>
                <w:szCs w:val="20"/>
              </w:rPr>
            </w:pPr>
            <w:r>
              <w:rPr>
                <w:rFonts w:hint="eastAsia" w:ascii="Arial" w:hAnsi="Arial" w:cs="Arial"/>
                <w:sz w:val="20"/>
                <w:szCs w:val="20"/>
              </w:rPr>
              <w:t>13分钟录像短片观摩</w:t>
            </w:r>
          </w:p>
          <w:p>
            <w:pPr>
              <w:numPr>
                <w:ilvl w:val="1"/>
                <w:numId w:val="2"/>
              </w:numPr>
              <w:wordWrap w:val="0"/>
              <w:spacing w:line="335" w:lineRule="atLeast"/>
              <w:rPr>
                <w:rFonts w:ascii="Arial" w:hAnsi="Arial" w:cs="Arial"/>
                <w:sz w:val="20"/>
                <w:szCs w:val="20"/>
              </w:rPr>
            </w:pPr>
            <w:r>
              <w:rPr>
                <w:rFonts w:hint="eastAsia" w:ascii="Arial" w:hAnsi="Arial" w:cs="Arial"/>
                <w:sz w:val="20"/>
                <w:szCs w:val="20"/>
              </w:rPr>
              <w:t>讲解（语音、语气、身体语言。。。）</w:t>
            </w:r>
          </w:p>
          <w:p>
            <w:pPr>
              <w:numPr>
                <w:ilvl w:val="0"/>
                <w:numId w:val="3"/>
              </w:numPr>
              <w:wordWrap w:val="0"/>
              <w:spacing w:line="335" w:lineRule="atLeast"/>
              <w:rPr>
                <w:rFonts w:ascii="Arial" w:hAnsi="Arial" w:cs="Arial"/>
                <w:sz w:val="20"/>
                <w:szCs w:val="20"/>
              </w:rPr>
            </w:pPr>
            <w:r>
              <w:rPr>
                <w:rFonts w:hint="eastAsia" w:ascii="Arial" w:hAnsi="Arial" w:cs="Arial"/>
                <w:sz w:val="20"/>
                <w:szCs w:val="20"/>
              </w:rPr>
              <w:t>学员培训心得分享</w:t>
            </w:r>
          </w:p>
          <w:p>
            <w:pPr>
              <w:numPr>
                <w:ilvl w:val="0"/>
                <w:numId w:val="3"/>
              </w:numPr>
              <w:wordWrap w:val="0"/>
              <w:spacing w:line="335" w:lineRule="atLeast"/>
              <w:rPr>
                <w:rFonts w:ascii="Arial" w:hAnsi="Arial" w:cs="Arial"/>
                <w:sz w:val="20"/>
                <w:szCs w:val="20"/>
              </w:rPr>
            </w:pPr>
            <w:r>
              <w:rPr>
                <w:rFonts w:hint="eastAsia" w:ascii="Arial" w:hAnsi="Arial" w:cs="Arial"/>
                <w:sz w:val="20"/>
                <w:szCs w:val="20"/>
              </w:rPr>
              <w:t>学员的其他兴趣点/需求点的提问与答疑</w:t>
            </w:r>
          </w:p>
          <w:p>
            <w:pPr>
              <w:numPr>
                <w:ilvl w:val="0"/>
                <w:numId w:val="3"/>
              </w:numPr>
              <w:wordWrap w:val="0"/>
              <w:spacing w:line="335" w:lineRule="atLeast"/>
              <w:rPr>
                <w:rFonts w:ascii="Arial" w:hAnsi="Arial" w:cs="Arial"/>
                <w:sz w:val="20"/>
                <w:szCs w:val="20"/>
              </w:rPr>
            </w:pPr>
            <w:r>
              <w:rPr>
                <w:rFonts w:hint="eastAsia" w:ascii="Arial" w:hAnsi="Arial" w:cs="Arial"/>
                <w:sz w:val="20"/>
                <w:szCs w:val="20"/>
              </w:rPr>
              <w:t>小结</w:t>
            </w:r>
          </w:p>
        </w:tc>
      </w:tr>
      <w:tr>
        <w:tblPrEx>
          <w:tblBorders>
            <w:top w:val="outset" w:color="EFEFEF" w:sz="6" w:space="0"/>
            <w:left w:val="outset" w:color="EFEFEF" w:sz="6" w:space="0"/>
            <w:bottom w:val="outset" w:color="EFEFEF" w:sz="6" w:space="0"/>
            <w:right w:val="outset" w:color="EFEFEF" w:sz="6" w:space="0"/>
            <w:insideH w:val="none" w:color="auto" w:sz="0" w:space="0"/>
            <w:insideV w:val="none" w:color="auto" w:sz="0" w:space="0"/>
          </w:tblBorders>
          <w:tblCellMar>
            <w:top w:w="15" w:type="dxa"/>
            <w:left w:w="15" w:type="dxa"/>
            <w:bottom w:w="15" w:type="dxa"/>
            <w:right w:w="15" w:type="dxa"/>
          </w:tblCellMar>
        </w:tblPrEx>
        <w:trPr>
          <w:tblCellSpacing w:w="7" w:type="dxa"/>
          <w:jc w:val="center"/>
        </w:trPr>
        <w:tc>
          <w:tcPr>
            <w:tcW w:w="838" w:type="pct"/>
            <w:tcBorders>
              <w:top w:val="outset" w:color="EFEFEF" w:sz="6" w:space="0"/>
              <w:left w:val="outset" w:color="EFEFEF" w:sz="6" w:space="0"/>
              <w:bottom w:val="outset" w:color="EFEFEF" w:sz="6" w:space="0"/>
              <w:right w:val="outset" w:color="EFEFEF" w:sz="6" w:space="0"/>
            </w:tcBorders>
            <w:shd w:val="clear" w:color="auto" w:fill="F9F9F9"/>
          </w:tcPr>
          <w:p>
            <w:pPr>
              <w:spacing w:line="335" w:lineRule="atLeast"/>
              <w:jc w:val="center"/>
              <w:rPr>
                <w:rFonts w:ascii="Arial" w:hAnsi="Arial" w:cs="Arial"/>
                <w:sz w:val="20"/>
                <w:szCs w:val="20"/>
              </w:rPr>
            </w:pPr>
          </w:p>
        </w:tc>
        <w:tc>
          <w:tcPr>
            <w:tcW w:w="4138" w:type="pct"/>
            <w:tcBorders>
              <w:top w:val="outset" w:color="EFEFEF" w:sz="6" w:space="0"/>
              <w:left w:val="outset" w:color="EFEFEF" w:sz="6" w:space="0"/>
              <w:bottom w:val="outset" w:color="EFEFEF" w:sz="6" w:space="0"/>
              <w:right w:val="outset" w:color="EFEFEF" w:sz="6" w:space="0"/>
            </w:tcBorders>
            <w:vAlign w:val="center"/>
          </w:tcPr>
          <w:p>
            <w:pPr>
              <w:wordWrap w:val="0"/>
              <w:spacing w:line="335" w:lineRule="atLeast"/>
              <w:rPr>
                <w:rFonts w:ascii="Arial" w:hAnsi="Arial" w:cs="Arial"/>
                <w:sz w:val="20"/>
                <w:szCs w:val="20"/>
              </w:rPr>
            </w:pPr>
            <w:r>
              <w:rPr>
                <w:rFonts w:hint="eastAsia" w:ascii="Arial" w:hAnsi="Arial" w:cs="Arial"/>
                <w:sz w:val="20"/>
                <w:szCs w:val="20"/>
              </w:rPr>
              <w:t xml:space="preserve">  结束</w:t>
            </w:r>
          </w:p>
        </w:tc>
      </w:tr>
    </w:tbl>
    <w:p>
      <w:bookmarkStart w:id="4" w:name="_GoBack"/>
      <w:bookmarkEnd w:id="4"/>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A73129A"/>
    <w:multiLevelType w:val="multilevel"/>
    <w:tmpl w:val="3A73129A"/>
    <w:lvl w:ilvl="0" w:tentative="0">
      <w:start w:val="1"/>
      <w:numFmt w:val="bullet"/>
      <w:lvlText w:val=""/>
      <w:lvlJc w:val="left"/>
      <w:pPr>
        <w:tabs>
          <w:tab w:val="left" w:pos="720"/>
        </w:tabs>
        <w:ind w:left="720" w:hanging="360"/>
      </w:pPr>
      <w:rPr>
        <w:rFonts w:hint="default" w:ascii="Symbol" w:hAnsi="Symbol"/>
      </w:rPr>
    </w:lvl>
    <w:lvl w:ilvl="1" w:tentative="0">
      <w:start w:val="1"/>
      <w:numFmt w:val="bullet"/>
      <w:lvlText w:val="o"/>
      <w:lvlJc w:val="left"/>
      <w:pPr>
        <w:tabs>
          <w:tab w:val="left" w:pos="1440"/>
        </w:tabs>
        <w:ind w:left="1440" w:hanging="360"/>
      </w:pPr>
      <w:rPr>
        <w:rFonts w:hint="default" w:ascii="Courier New" w:hAnsi="Courier New" w:cs="Courier New"/>
      </w:rPr>
    </w:lvl>
    <w:lvl w:ilvl="2" w:tentative="0">
      <w:start w:val="1"/>
      <w:numFmt w:val="bullet"/>
      <w:lvlText w:val=""/>
      <w:lvlJc w:val="left"/>
      <w:pPr>
        <w:tabs>
          <w:tab w:val="left" w:pos="2160"/>
        </w:tabs>
        <w:ind w:left="2160" w:hanging="360"/>
      </w:pPr>
      <w:rPr>
        <w:rFonts w:hint="default" w:ascii="Wingdings" w:hAnsi="Wingdings"/>
      </w:rPr>
    </w:lvl>
    <w:lvl w:ilvl="3" w:tentative="0">
      <w:start w:val="1"/>
      <w:numFmt w:val="bullet"/>
      <w:lvlText w:val=""/>
      <w:lvlJc w:val="left"/>
      <w:pPr>
        <w:tabs>
          <w:tab w:val="left" w:pos="2880"/>
        </w:tabs>
        <w:ind w:left="2880" w:hanging="360"/>
      </w:pPr>
      <w:rPr>
        <w:rFonts w:hint="default" w:ascii="Symbol" w:hAnsi="Symbol"/>
      </w:rPr>
    </w:lvl>
    <w:lvl w:ilvl="4" w:tentative="0">
      <w:start w:val="1"/>
      <w:numFmt w:val="bullet"/>
      <w:lvlText w:val="o"/>
      <w:lvlJc w:val="left"/>
      <w:pPr>
        <w:tabs>
          <w:tab w:val="left" w:pos="3600"/>
        </w:tabs>
        <w:ind w:left="3600" w:hanging="360"/>
      </w:pPr>
      <w:rPr>
        <w:rFonts w:hint="default" w:ascii="Courier New" w:hAnsi="Courier New" w:cs="Courier New"/>
      </w:rPr>
    </w:lvl>
    <w:lvl w:ilvl="5" w:tentative="0">
      <w:start w:val="1"/>
      <w:numFmt w:val="bullet"/>
      <w:lvlText w:val=""/>
      <w:lvlJc w:val="left"/>
      <w:pPr>
        <w:tabs>
          <w:tab w:val="left" w:pos="4320"/>
        </w:tabs>
        <w:ind w:left="4320" w:hanging="360"/>
      </w:pPr>
      <w:rPr>
        <w:rFonts w:hint="default" w:ascii="Wingdings" w:hAnsi="Wingdings"/>
      </w:rPr>
    </w:lvl>
    <w:lvl w:ilvl="6" w:tentative="0">
      <w:start w:val="1"/>
      <w:numFmt w:val="bullet"/>
      <w:lvlText w:val=""/>
      <w:lvlJc w:val="left"/>
      <w:pPr>
        <w:tabs>
          <w:tab w:val="left" w:pos="5040"/>
        </w:tabs>
        <w:ind w:left="5040" w:hanging="360"/>
      </w:pPr>
      <w:rPr>
        <w:rFonts w:hint="default" w:ascii="Symbol" w:hAnsi="Symbol"/>
      </w:rPr>
    </w:lvl>
    <w:lvl w:ilvl="7" w:tentative="0">
      <w:start w:val="1"/>
      <w:numFmt w:val="bullet"/>
      <w:lvlText w:val="o"/>
      <w:lvlJc w:val="left"/>
      <w:pPr>
        <w:tabs>
          <w:tab w:val="left" w:pos="5760"/>
        </w:tabs>
        <w:ind w:left="5760" w:hanging="360"/>
      </w:pPr>
      <w:rPr>
        <w:rFonts w:hint="default" w:ascii="Courier New" w:hAnsi="Courier New" w:cs="Courier New"/>
      </w:rPr>
    </w:lvl>
    <w:lvl w:ilvl="8" w:tentative="0">
      <w:start w:val="1"/>
      <w:numFmt w:val="bullet"/>
      <w:lvlText w:val=""/>
      <w:lvlJc w:val="left"/>
      <w:pPr>
        <w:tabs>
          <w:tab w:val="left" w:pos="6480"/>
        </w:tabs>
        <w:ind w:left="6480" w:hanging="360"/>
      </w:pPr>
      <w:rPr>
        <w:rFonts w:hint="default" w:ascii="Wingdings" w:hAnsi="Wingdings"/>
      </w:rPr>
    </w:lvl>
  </w:abstractNum>
  <w:abstractNum w:abstractNumId="1">
    <w:nsid w:val="4BF00698"/>
    <w:multiLevelType w:val="multilevel"/>
    <w:tmpl w:val="4BF00698"/>
    <w:lvl w:ilvl="0" w:tentative="0">
      <w:start w:val="1"/>
      <w:numFmt w:val="bullet"/>
      <w:lvlText w:val=""/>
      <w:lvlJc w:val="left"/>
      <w:pPr>
        <w:tabs>
          <w:tab w:val="left" w:pos="720"/>
        </w:tabs>
        <w:ind w:left="720" w:hanging="360"/>
      </w:pPr>
      <w:rPr>
        <w:rFonts w:hint="default" w:ascii="Symbol" w:hAnsi="Symbol"/>
      </w:rPr>
    </w:lvl>
    <w:lvl w:ilvl="1" w:tentative="0">
      <w:start w:val="1"/>
      <w:numFmt w:val="bullet"/>
      <w:lvlText w:val="o"/>
      <w:lvlJc w:val="left"/>
      <w:pPr>
        <w:tabs>
          <w:tab w:val="left" w:pos="1440"/>
        </w:tabs>
        <w:ind w:left="1440" w:hanging="360"/>
      </w:pPr>
      <w:rPr>
        <w:rFonts w:hint="default" w:ascii="Courier New" w:hAnsi="Courier New" w:cs="Courier New"/>
      </w:rPr>
    </w:lvl>
    <w:lvl w:ilvl="2" w:tentative="0">
      <w:start w:val="1"/>
      <w:numFmt w:val="bullet"/>
      <w:lvlText w:val=""/>
      <w:lvlJc w:val="left"/>
      <w:pPr>
        <w:tabs>
          <w:tab w:val="left" w:pos="2160"/>
        </w:tabs>
        <w:ind w:left="2160" w:hanging="360"/>
      </w:pPr>
      <w:rPr>
        <w:rFonts w:hint="default" w:ascii="Wingdings" w:hAnsi="Wingdings"/>
      </w:rPr>
    </w:lvl>
    <w:lvl w:ilvl="3" w:tentative="0">
      <w:start w:val="1"/>
      <w:numFmt w:val="bullet"/>
      <w:lvlText w:val=""/>
      <w:lvlJc w:val="left"/>
      <w:pPr>
        <w:tabs>
          <w:tab w:val="left" w:pos="2880"/>
        </w:tabs>
        <w:ind w:left="2880" w:hanging="360"/>
      </w:pPr>
      <w:rPr>
        <w:rFonts w:hint="default" w:ascii="Wingdings" w:hAnsi="Wingdings"/>
      </w:rPr>
    </w:lvl>
    <w:lvl w:ilvl="4" w:tentative="0">
      <w:start w:val="1"/>
      <w:numFmt w:val="bullet"/>
      <w:lvlText w:val="o"/>
      <w:lvlJc w:val="left"/>
      <w:pPr>
        <w:tabs>
          <w:tab w:val="left" w:pos="3600"/>
        </w:tabs>
        <w:ind w:left="3600" w:hanging="360"/>
      </w:pPr>
      <w:rPr>
        <w:rFonts w:hint="default" w:ascii="Courier New" w:hAnsi="Courier New" w:cs="Courier New"/>
      </w:rPr>
    </w:lvl>
    <w:lvl w:ilvl="5" w:tentative="0">
      <w:start w:val="1"/>
      <w:numFmt w:val="bullet"/>
      <w:lvlText w:val=""/>
      <w:lvlJc w:val="left"/>
      <w:pPr>
        <w:tabs>
          <w:tab w:val="left" w:pos="4320"/>
        </w:tabs>
        <w:ind w:left="4320" w:hanging="360"/>
      </w:pPr>
      <w:rPr>
        <w:rFonts w:hint="default" w:ascii="Wingdings" w:hAnsi="Wingdings"/>
      </w:rPr>
    </w:lvl>
    <w:lvl w:ilvl="6" w:tentative="0">
      <w:start w:val="1"/>
      <w:numFmt w:val="bullet"/>
      <w:lvlText w:val=""/>
      <w:lvlJc w:val="left"/>
      <w:pPr>
        <w:tabs>
          <w:tab w:val="left" w:pos="5040"/>
        </w:tabs>
        <w:ind w:left="5040" w:hanging="360"/>
      </w:pPr>
      <w:rPr>
        <w:rFonts w:hint="default" w:ascii="Symbol" w:hAnsi="Symbol"/>
      </w:rPr>
    </w:lvl>
    <w:lvl w:ilvl="7" w:tentative="0">
      <w:start w:val="1"/>
      <w:numFmt w:val="bullet"/>
      <w:lvlText w:val="o"/>
      <w:lvlJc w:val="left"/>
      <w:pPr>
        <w:tabs>
          <w:tab w:val="left" w:pos="5760"/>
        </w:tabs>
        <w:ind w:left="5760" w:hanging="360"/>
      </w:pPr>
      <w:rPr>
        <w:rFonts w:hint="default" w:ascii="Courier New" w:hAnsi="Courier New" w:cs="Courier New"/>
      </w:rPr>
    </w:lvl>
    <w:lvl w:ilvl="8" w:tentative="0">
      <w:start w:val="1"/>
      <w:numFmt w:val="bullet"/>
      <w:lvlText w:val=""/>
      <w:lvlJc w:val="left"/>
      <w:pPr>
        <w:tabs>
          <w:tab w:val="left" w:pos="6480"/>
        </w:tabs>
        <w:ind w:left="6480" w:hanging="360"/>
      </w:pPr>
      <w:rPr>
        <w:rFonts w:hint="default" w:ascii="Wingdings" w:hAnsi="Wingdings"/>
      </w:rPr>
    </w:lvl>
  </w:abstractNum>
  <w:abstractNum w:abstractNumId="2">
    <w:nsid w:val="665D4317"/>
    <w:multiLevelType w:val="multilevel"/>
    <w:tmpl w:val="665D4317"/>
    <w:lvl w:ilvl="0" w:tentative="0">
      <w:start w:val="1"/>
      <w:numFmt w:val="decimal"/>
      <w:lvlText w:val="%1."/>
      <w:lvlJc w:val="left"/>
      <w:pPr>
        <w:tabs>
          <w:tab w:val="left" w:pos="720"/>
        </w:tabs>
        <w:ind w:left="720" w:hanging="360"/>
      </w:pPr>
    </w:lvl>
    <w:lvl w:ilvl="1" w:tentative="0">
      <w:start w:val="1"/>
      <w:numFmt w:val="lowerLetter"/>
      <w:lvlText w:val="%2."/>
      <w:lvlJc w:val="left"/>
      <w:pPr>
        <w:tabs>
          <w:tab w:val="left" w:pos="1440"/>
        </w:tabs>
        <w:ind w:left="1440" w:hanging="360"/>
      </w:pPr>
    </w:lvl>
    <w:lvl w:ilvl="2" w:tentative="0">
      <w:start w:val="1"/>
      <w:numFmt w:val="lowerRoman"/>
      <w:lvlText w:val="%3."/>
      <w:lvlJc w:val="right"/>
      <w:pPr>
        <w:tabs>
          <w:tab w:val="left" w:pos="2160"/>
        </w:tabs>
        <w:ind w:left="2160" w:hanging="180"/>
      </w:pPr>
    </w:lvl>
    <w:lvl w:ilvl="3" w:tentative="0">
      <w:start w:val="1"/>
      <w:numFmt w:val="decimal"/>
      <w:lvlText w:val="%4."/>
      <w:lvlJc w:val="left"/>
      <w:pPr>
        <w:tabs>
          <w:tab w:val="left" w:pos="2880"/>
        </w:tabs>
        <w:ind w:left="2880" w:hanging="360"/>
      </w:pPr>
    </w:lvl>
    <w:lvl w:ilvl="4" w:tentative="0">
      <w:start w:val="1"/>
      <w:numFmt w:val="lowerLetter"/>
      <w:lvlText w:val="%5."/>
      <w:lvlJc w:val="left"/>
      <w:pPr>
        <w:tabs>
          <w:tab w:val="left" w:pos="3600"/>
        </w:tabs>
        <w:ind w:left="3600" w:hanging="360"/>
      </w:pPr>
    </w:lvl>
    <w:lvl w:ilvl="5" w:tentative="0">
      <w:start w:val="1"/>
      <w:numFmt w:val="lowerRoman"/>
      <w:lvlText w:val="%6."/>
      <w:lvlJc w:val="right"/>
      <w:pPr>
        <w:tabs>
          <w:tab w:val="left" w:pos="4320"/>
        </w:tabs>
        <w:ind w:left="4320" w:hanging="180"/>
      </w:pPr>
    </w:lvl>
    <w:lvl w:ilvl="6" w:tentative="0">
      <w:start w:val="1"/>
      <w:numFmt w:val="decimal"/>
      <w:lvlText w:val="%7."/>
      <w:lvlJc w:val="left"/>
      <w:pPr>
        <w:tabs>
          <w:tab w:val="left" w:pos="5040"/>
        </w:tabs>
        <w:ind w:left="5040" w:hanging="360"/>
      </w:pPr>
    </w:lvl>
    <w:lvl w:ilvl="7" w:tentative="0">
      <w:start w:val="1"/>
      <w:numFmt w:val="lowerLetter"/>
      <w:lvlText w:val="%8."/>
      <w:lvlJc w:val="left"/>
      <w:pPr>
        <w:tabs>
          <w:tab w:val="left" w:pos="5760"/>
        </w:tabs>
        <w:ind w:left="5760" w:hanging="360"/>
      </w:pPr>
    </w:lvl>
    <w:lvl w:ilvl="8" w:tentative="0">
      <w:start w:val="1"/>
      <w:numFmt w:val="lowerRoman"/>
      <w:lvlText w:val="%9."/>
      <w:lvlJc w:val="right"/>
      <w:pPr>
        <w:tabs>
          <w:tab w:val="left" w:pos="6480"/>
        </w:tabs>
        <w:ind w:left="648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E752C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宋体" w:cs="Times New Roman"/>
      <w:sz w:val="24"/>
      <w:szCs w:val="24"/>
      <w:lang w:val="en-US" w:eastAsia="zh-CN" w:bidi="ar-SA"/>
    </w:rPr>
  </w:style>
  <w:style w:type="paragraph" w:styleId="2">
    <w:name w:val="heading 1"/>
    <w:basedOn w:val="1"/>
    <w:next w:val="1"/>
    <w:qFormat/>
    <w:uiPriority w:val="0"/>
    <w:pPr>
      <w:keepNext/>
      <w:spacing w:before="240" w:after="60"/>
      <w:outlineLvl w:val="0"/>
    </w:pPr>
    <w:rPr>
      <w:rFonts w:ascii="Arial" w:hAnsi="Arial" w:cs="Arial"/>
      <w:b/>
      <w:bCs/>
      <w:kern w:val="32"/>
      <w:sz w:val="32"/>
      <w:szCs w:val="32"/>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2021-04-30T09:07:23Z</dcterms:created>
  <dc:creator>shizi06</dc:creator>
  <cp:lastModifiedBy>中国讲师网尹老师</cp:lastModifiedBy>
  <dcterms:modified xsi:type="dcterms:W3CDTF">2021-04-30T09:07:30Z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AB0E4216BDEF43F99856F202281D0B92</vt:lpwstr>
  </property>
</Properties>
</file>